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val="0"/>
        <w:snapToGrid w:val="0"/>
        <w:spacing w:line="560" w:lineRule="exact"/>
        <w:ind w:left="0" w:right="0"/>
        <w:jc w:val="center"/>
        <w:textAlignment w:val="baseline"/>
        <w:rPr>
          <w:rFonts w:hint="default" w:ascii="Times New Roman" w:hAnsi="Times New Roman" w:eastAsia="方正小标宋简体" w:cs="Times New Roman"/>
          <w:b w:val="0"/>
          <w:bCs w:val="0"/>
          <w:color w:val="auto"/>
          <w:spacing w:val="0"/>
          <w:sz w:val="44"/>
          <w:szCs w:val="44"/>
          <w:highlight w:val="none"/>
          <w:lang w:val="en-US" w:eastAsia="zh-CN"/>
        </w:rPr>
      </w:pPr>
      <w:r>
        <w:rPr>
          <w:rFonts w:hint="default" w:ascii="Times New Roman" w:hAnsi="Times New Roman" w:eastAsia="方正小标宋简体" w:cs="Times New Roman"/>
          <w:b w:val="0"/>
          <w:bCs w:val="0"/>
          <w:color w:val="auto"/>
          <w:spacing w:val="0"/>
          <w:sz w:val="44"/>
          <w:szCs w:val="44"/>
          <w:highlight w:val="none"/>
          <w:lang w:val="en-US" w:eastAsia="zh-CN"/>
        </w:rPr>
        <w:t>太仓</w:t>
      </w:r>
      <w:r>
        <w:rPr>
          <w:rFonts w:hint="default" w:ascii="Times New Roman" w:hAnsi="Times New Roman" w:eastAsia="方正小标宋简体" w:cs="Times New Roman"/>
          <w:b w:val="0"/>
          <w:bCs w:val="0"/>
          <w:color w:val="auto"/>
          <w:spacing w:val="0"/>
          <w:sz w:val="44"/>
          <w:szCs w:val="44"/>
          <w:highlight w:val="none"/>
        </w:rPr>
        <w:t>市</w:t>
      </w:r>
      <w:r>
        <w:rPr>
          <w:rFonts w:hint="default" w:ascii="Times New Roman" w:hAnsi="Times New Roman" w:eastAsia="方正小标宋简体" w:cs="Times New Roman"/>
          <w:b w:val="0"/>
          <w:bCs w:val="0"/>
          <w:color w:val="auto"/>
          <w:spacing w:val="0"/>
          <w:sz w:val="44"/>
          <w:szCs w:val="44"/>
          <w:highlight w:val="none"/>
          <w:lang w:val="en-US" w:eastAsia="zh-CN"/>
        </w:rPr>
        <w:t>关于进一步优化政务服务提升行政效能推动“高效办成一件事”的实施意见</w:t>
      </w:r>
    </w:p>
    <w:p>
      <w:pPr>
        <w:pStyle w:val="9"/>
        <w:keepNext w:val="0"/>
        <w:keepLines w:val="0"/>
        <w:pageBreakBefore w:val="0"/>
        <w:wordWrap/>
        <w:overflowPunct/>
        <w:bidi w:val="0"/>
        <w:spacing w:line="560" w:lineRule="exact"/>
        <w:ind w:left="0" w:leftChars="0" w:right="0" w:firstLine="0" w:firstLineChars="0"/>
        <w:jc w:val="center"/>
        <w:rPr>
          <w:rFonts w:hint="default" w:ascii="Times New Roman" w:hAnsi="Times New Roman" w:eastAsia="楷体_GB2312" w:cs="Times New Roman"/>
          <w:b w:val="0"/>
          <w:bCs w:val="0"/>
          <w:color w:val="auto"/>
          <w:spacing w:val="0"/>
          <w:sz w:val="36"/>
          <w:szCs w:val="36"/>
          <w:highlight w:val="none"/>
          <w:lang w:eastAsia="zh-CN"/>
        </w:rPr>
      </w:pP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为深入贯彻国家、省、</w:t>
      </w:r>
      <w:r>
        <w:rPr>
          <w:rFonts w:hint="default" w:ascii="Times New Roman" w:hAnsi="Times New Roman" w:eastAsia="仿宋_GB2312" w:cs="Times New Roman"/>
          <w:color w:val="auto"/>
          <w:spacing w:val="0"/>
          <w:sz w:val="32"/>
          <w:szCs w:val="32"/>
          <w:highlight w:val="none"/>
          <w:lang w:eastAsia="zh-CN"/>
        </w:rPr>
        <w:t>苏州</w:t>
      </w:r>
      <w:r>
        <w:rPr>
          <w:rFonts w:hint="default" w:ascii="Times New Roman" w:hAnsi="Times New Roman" w:eastAsia="仿宋_GB2312" w:cs="Times New Roman"/>
          <w:color w:val="auto"/>
          <w:spacing w:val="0"/>
          <w:sz w:val="32"/>
          <w:szCs w:val="32"/>
          <w:highlight w:val="none"/>
        </w:rPr>
        <w:t>市关于加强数字政府建设推进数字化转型的各项决策部署，根据</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国务院关于进一步优化政务服务提升行政效能 推动“高效办成一件事”的指导意见</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国发〔</w:t>
      </w:r>
      <w:r>
        <w:rPr>
          <w:rFonts w:hint="default" w:ascii="Times New Roman" w:hAnsi="Times New Roman" w:eastAsia="仿宋_GB2312" w:cs="Times New Roman"/>
          <w:color w:val="auto"/>
          <w:spacing w:val="0"/>
          <w:sz w:val="32"/>
          <w:szCs w:val="32"/>
          <w:highlight w:val="none"/>
        </w:rPr>
        <w:t>202</w:t>
      </w:r>
      <w:r>
        <w:rPr>
          <w:rFonts w:hint="default" w:ascii="Times New Roman" w:hAnsi="Times New Roman" w:eastAsia="仿宋_GB2312" w:cs="Times New Roman"/>
          <w:color w:val="auto"/>
          <w:spacing w:val="0"/>
          <w:sz w:val="32"/>
          <w:szCs w:val="32"/>
          <w:highlight w:val="none"/>
          <w:lang w:val="en-US" w:eastAsia="zh-CN"/>
        </w:rPr>
        <w:t>4〕3</w:t>
      </w:r>
      <w:r>
        <w:rPr>
          <w:rFonts w:hint="default" w:ascii="Times New Roman" w:hAnsi="Times New Roman" w:eastAsia="仿宋_GB2312" w:cs="Times New Roman"/>
          <w:color w:val="auto"/>
          <w:spacing w:val="0"/>
          <w:sz w:val="32"/>
          <w:szCs w:val="32"/>
          <w:highlight w:val="none"/>
        </w:rPr>
        <w:t>号</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以及</w:t>
      </w:r>
      <w:r>
        <w:rPr>
          <w:rFonts w:hint="default" w:ascii="Times New Roman" w:hAnsi="Times New Roman" w:eastAsia="仿宋_GB2312" w:cs="Times New Roman"/>
          <w:color w:val="auto"/>
          <w:spacing w:val="0"/>
          <w:sz w:val="32"/>
          <w:szCs w:val="32"/>
          <w:highlight w:val="none"/>
        </w:rPr>
        <w:t>《江苏省优化营商环境行动计划》</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苏州市2024年优化营商环境十条政策措施</w:t>
      </w:r>
      <w:r>
        <w:rPr>
          <w:rFonts w:hint="default" w:ascii="Times New Roman" w:hAnsi="Times New Roman" w:eastAsia="仿宋_GB2312" w:cs="Times New Roman"/>
          <w:color w:val="auto"/>
          <w:spacing w:val="0"/>
          <w:sz w:val="32"/>
          <w:szCs w:val="32"/>
          <w:highlight w:val="none"/>
          <w:lang w:eastAsia="zh-CN"/>
        </w:rPr>
        <w:t>》等</w:t>
      </w:r>
      <w:r>
        <w:rPr>
          <w:rFonts w:hint="default" w:ascii="Times New Roman" w:hAnsi="Times New Roman" w:eastAsia="仿宋_GB2312" w:cs="Times New Roman"/>
          <w:color w:val="auto"/>
          <w:spacing w:val="0"/>
          <w:sz w:val="32"/>
          <w:szCs w:val="32"/>
          <w:highlight w:val="none"/>
        </w:rPr>
        <w:t>文件精神</w:t>
      </w:r>
      <w:r>
        <w:rPr>
          <w:rFonts w:hint="default" w:ascii="Times New Roman" w:hAnsi="Times New Roman" w:eastAsia="仿宋_GB2312" w:cs="Times New Roman"/>
          <w:color w:val="auto"/>
          <w:spacing w:val="0"/>
          <w:sz w:val="32"/>
          <w:szCs w:val="32"/>
          <w:highlight w:val="none"/>
          <w:lang w:eastAsia="zh-CN"/>
        </w:rPr>
        <w:t>，持续优化</w:t>
      </w:r>
      <w:r>
        <w:rPr>
          <w:rFonts w:hint="default" w:ascii="Times New Roman" w:hAnsi="Times New Roman" w:eastAsia="仿宋_GB2312" w:cs="Times New Roman"/>
          <w:color w:val="auto"/>
          <w:spacing w:val="0"/>
          <w:sz w:val="32"/>
          <w:szCs w:val="32"/>
          <w:highlight w:val="none"/>
          <w:lang w:val="en-US" w:eastAsia="zh-CN"/>
        </w:rPr>
        <w:t>创新营商环境改革举措</w:t>
      </w:r>
      <w:r>
        <w:rPr>
          <w:rFonts w:hint="default" w:ascii="Times New Roman" w:hAnsi="Times New Roman" w:eastAsia="仿宋_GB2312" w:cs="Times New Roman"/>
          <w:color w:val="auto"/>
          <w:spacing w:val="0"/>
          <w:sz w:val="32"/>
          <w:szCs w:val="32"/>
          <w:highlight w:val="none"/>
        </w:rPr>
        <w:t>，高质量推动我市“</w:t>
      </w:r>
      <w:r>
        <w:rPr>
          <w:rFonts w:hint="default" w:ascii="Times New Roman" w:hAnsi="Times New Roman" w:eastAsia="仿宋_GB2312" w:cs="Times New Roman"/>
          <w:color w:val="auto"/>
          <w:spacing w:val="0"/>
          <w:sz w:val="32"/>
          <w:szCs w:val="32"/>
          <w:highlight w:val="none"/>
          <w:lang w:val="en-US" w:eastAsia="zh-CN"/>
        </w:rPr>
        <w:t>一件事</w:t>
      </w:r>
      <w:r>
        <w:rPr>
          <w:rFonts w:hint="default" w:ascii="Times New Roman" w:hAnsi="Times New Roman" w:eastAsia="仿宋_GB2312" w:cs="Times New Roman"/>
          <w:color w:val="auto"/>
          <w:spacing w:val="0"/>
          <w:sz w:val="32"/>
          <w:szCs w:val="32"/>
          <w:highlight w:val="none"/>
        </w:rPr>
        <w:t>”改革</w:t>
      </w:r>
      <w:r>
        <w:rPr>
          <w:rFonts w:hint="default" w:ascii="Times New Roman" w:hAnsi="Times New Roman" w:eastAsia="仿宋_GB2312" w:cs="Times New Roman"/>
          <w:color w:val="auto"/>
          <w:spacing w:val="0"/>
          <w:sz w:val="32"/>
          <w:szCs w:val="32"/>
          <w:highlight w:val="none"/>
          <w:lang w:val="en-US" w:eastAsia="zh-CN"/>
        </w:rPr>
        <w:t>工作</w:t>
      </w:r>
      <w:r>
        <w:rPr>
          <w:rFonts w:hint="default" w:ascii="Times New Roman" w:hAnsi="Times New Roman" w:eastAsia="仿宋_GB2312" w:cs="Times New Roman"/>
          <w:color w:val="auto"/>
          <w:spacing w:val="0"/>
          <w:sz w:val="32"/>
          <w:szCs w:val="32"/>
          <w:highlight w:val="none"/>
        </w:rPr>
        <w:t>向纵深发展，制定本</w:t>
      </w:r>
      <w:r>
        <w:rPr>
          <w:rFonts w:hint="default" w:ascii="Times New Roman" w:hAnsi="Times New Roman" w:eastAsia="仿宋_GB2312" w:cs="Times New Roman"/>
          <w:color w:val="auto"/>
          <w:spacing w:val="0"/>
          <w:sz w:val="32"/>
          <w:szCs w:val="32"/>
          <w:highlight w:val="none"/>
          <w:lang w:eastAsia="zh-CN"/>
        </w:rPr>
        <w:t>实施意见</w:t>
      </w:r>
      <w:r>
        <w:rPr>
          <w:rFonts w:hint="default" w:ascii="Times New Roman" w:hAnsi="Times New Roman" w:eastAsia="仿宋_GB2312" w:cs="Times New Roman"/>
          <w:color w:val="auto"/>
          <w:spacing w:val="0"/>
          <w:sz w:val="32"/>
          <w:szCs w:val="32"/>
          <w:highlight w:val="none"/>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outlineLvl w:val="0"/>
        <w:rPr>
          <w:rFonts w:hint="default" w:ascii="Times New Roman" w:hAnsi="Times New Roman" w:eastAsia="黑体" w:cs="Times New Roman"/>
          <w:color w:val="auto"/>
          <w:spacing w:val="0"/>
          <w:sz w:val="32"/>
          <w:szCs w:val="32"/>
          <w:highlight w:val="none"/>
          <w:lang w:eastAsia="zh-CN"/>
        </w:rPr>
      </w:pPr>
      <w:r>
        <w:rPr>
          <w:rFonts w:hint="default" w:ascii="Times New Roman" w:hAnsi="Times New Roman" w:eastAsia="黑体" w:cs="Times New Roman"/>
          <w:b w:val="0"/>
          <w:bCs w:val="0"/>
          <w:color w:val="auto"/>
          <w:spacing w:val="0"/>
          <w:sz w:val="32"/>
          <w:szCs w:val="32"/>
          <w:highlight w:val="none"/>
        </w:rPr>
        <w:t>一、</w:t>
      </w:r>
      <w:r>
        <w:rPr>
          <w:rFonts w:hint="default" w:ascii="Times New Roman" w:hAnsi="Times New Roman" w:eastAsia="黑体" w:cs="Times New Roman"/>
          <w:b w:val="0"/>
          <w:bCs w:val="0"/>
          <w:color w:val="auto"/>
          <w:spacing w:val="0"/>
          <w:sz w:val="32"/>
          <w:szCs w:val="32"/>
          <w:highlight w:val="none"/>
          <w:lang w:eastAsia="zh-CN"/>
        </w:rPr>
        <w:t>总体要求</w:t>
      </w:r>
    </w:p>
    <w:p>
      <w:pPr>
        <w:keepNext w:val="0"/>
        <w:keepLines w:val="0"/>
        <w:pageBreakBefore w:val="0"/>
        <w:widowControl w:val="0"/>
        <w:suppressLineNumbers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lang w:eastAsia="zh-CN"/>
        </w:rPr>
        <w:t>（一）指导思想</w:t>
      </w:r>
    </w:p>
    <w:p>
      <w:pPr>
        <w:keepNext w:val="0"/>
        <w:keepLines w:val="0"/>
        <w:pageBreakBefore w:val="0"/>
        <w:widowControl w:val="0"/>
        <w:suppressLineNumbers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以习近平新时代中国特色社会主义思想为指导，全面贯彻落实党的二十大精神，</w:t>
      </w:r>
      <w:r>
        <w:rPr>
          <w:rFonts w:hint="default" w:ascii="Times New Roman" w:hAnsi="Times New Roman" w:eastAsia="仿宋_GB2312" w:cs="Times New Roman"/>
          <w:color w:val="auto"/>
          <w:sz w:val="32"/>
          <w:szCs w:val="32"/>
          <w:highlight w:val="none"/>
        </w:rPr>
        <w:t>坚持问题导向和目标导向相结合，从企业和群众视角出发，</w:t>
      </w:r>
      <w:r>
        <w:rPr>
          <w:rFonts w:hint="eastAsia" w:ascii="Times New Roman" w:hAnsi="Times New Roman" w:eastAsia="仿宋_GB2312" w:cs="Times New Roman"/>
          <w:color w:val="auto"/>
          <w:sz w:val="32"/>
          <w:szCs w:val="32"/>
          <w:highlight w:val="none"/>
          <w:lang w:val="en-US" w:eastAsia="zh-CN"/>
        </w:rPr>
        <w:t>把“高效办成一件事”作为优化政务服务，提升行政效能的重要抓手，</w:t>
      </w:r>
      <w:r>
        <w:rPr>
          <w:rFonts w:hint="default" w:ascii="Times New Roman" w:hAnsi="Times New Roman" w:eastAsia="仿宋_GB2312" w:cs="Times New Roman"/>
          <w:color w:val="auto"/>
          <w:sz w:val="32"/>
          <w:szCs w:val="32"/>
          <w:highlight w:val="none"/>
        </w:rPr>
        <w:t>加强整体设计，推动模式创新，注重改革引领和数字赋能双轮驱动，统筹发展和安全，推动线上线下融合发展，实现办事方式多元化、办事流程最优化、办事材料最简化、办事成本最小化，最大限度利企便民，激发经济社会发展内生动力。</w:t>
      </w:r>
    </w:p>
    <w:p>
      <w:pPr>
        <w:keepNext w:val="0"/>
        <w:keepLines w:val="0"/>
        <w:pageBreakBefore w:val="0"/>
        <w:widowControl w:val="0"/>
        <w:suppressLineNumbers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楷体_GB2312" w:cs="Times New Roman"/>
          <w:color w:val="auto"/>
          <w:spacing w:val="0"/>
          <w:sz w:val="32"/>
          <w:szCs w:val="32"/>
          <w:highlight w:val="none"/>
          <w:lang w:eastAsia="zh-CN"/>
        </w:rPr>
      </w:pPr>
      <w:r>
        <w:rPr>
          <w:rFonts w:hint="default" w:ascii="Times New Roman" w:hAnsi="Times New Roman" w:eastAsia="楷体_GB2312" w:cs="Times New Roman"/>
          <w:color w:val="auto"/>
          <w:spacing w:val="0"/>
          <w:sz w:val="32"/>
          <w:szCs w:val="32"/>
          <w:highlight w:val="none"/>
          <w:lang w:eastAsia="zh-CN"/>
        </w:rPr>
        <w:t>（二）</w:t>
      </w:r>
      <w:r>
        <w:rPr>
          <w:rFonts w:hint="eastAsia" w:ascii="Times New Roman" w:hAnsi="Times New Roman" w:eastAsia="楷体_GB2312" w:cs="Times New Roman"/>
          <w:color w:val="auto"/>
          <w:spacing w:val="0"/>
          <w:sz w:val="32"/>
          <w:szCs w:val="32"/>
          <w:highlight w:val="none"/>
          <w:lang w:eastAsia="zh-CN"/>
        </w:rPr>
        <w:t>工作</w:t>
      </w:r>
      <w:r>
        <w:rPr>
          <w:rFonts w:hint="default" w:ascii="Times New Roman" w:hAnsi="Times New Roman" w:eastAsia="楷体_GB2312" w:cs="Times New Roman"/>
          <w:color w:val="auto"/>
          <w:spacing w:val="0"/>
          <w:sz w:val="32"/>
          <w:szCs w:val="32"/>
          <w:highlight w:val="none"/>
          <w:lang w:eastAsia="zh-CN"/>
        </w:rPr>
        <w:t>目标</w:t>
      </w:r>
    </w:p>
    <w:p>
      <w:pPr>
        <w:keepNext w:val="0"/>
        <w:keepLines w:val="0"/>
        <w:pageBreakBefore w:val="0"/>
        <w:widowControl w:val="0"/>
        <w:suppressLineNumbers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pacing w:val="0"/>
          <w:sz w:val="32"/>
          <w:szCs w:val="32"/>
          <w:highlight w:val="none"/>
        </w:rPr>
        <w:t>坚持高质量推进“</w:t>
      </w:r>
      <w:r>
        <w:rPr>
          <w:rFonts w:hint="default" w:ascii="Times New Roman" w:hAnsi="Times New Roman" w:eastAsia="仿宋_GB2312" w:cs="Times New Roman"/>
          <w:color w:val="auto"/>
          <w:spacing w:val="0"/>
          <w:sz w:val="32"/>
          <w:szCs w:val="32"/>
          <w:highlight w:val="none"/>
          <w:lang w:val="en-US" w:eastAsia="zh-CN"/>
        </w:rPr>
        <w:t>一件事</w:t>
      </w:r>
      <w:r>
        <w:rPr>
          <w:rFonts w:hint="default" w:ascii="Times New Roman" w:hAnsi="Times New Roman" w:eastAsia="仿宋_GB2312" w:cs="Times New Roman"/>
          <w:color w:val="auto"/>
          <w:spacing w:val="0"/>
          <w:sz w:val="32"/>
          <w:szCs w:val="32"/>
          <w:highlight w:val="none"/>
        </w:rPr>
        <w:t>”改革向纵深发展，</w:t>
      </w:r>
      <w:r>
        <w:rPr>
          <w:rFonts w:hint="default" w:ascii="Times New Roman" w:hAnsi="Times New Roman" w:eastAsia="仿宋_GB2312" w:cs="Times New Roman"/>
          <w:color w:val="auto"/>
          <w:spacing w:val="0"/>
          <w:sz w:val="32"/>
          <w:szCs w:val="32"/>
          <w:highlight w:val="none"/>
          <w:lang w:val="en-US" w:eastAsia="zh-CN"/>
        </w:rPr>
        <w:t>2024年，</w:t>
      </w:r>
      <w:r>
        <w:rPr>
          <w:rFonts w:hint="default" w:ascii="Times New Roman" w:hAnsi="Times New Roman" w:eastAsia="仿宋_GB2312" w:cs="Times New Roman"/>
          <w:color w:val="auto"/>
          <w:sz w:val="32"/>
          <w:szCs w:val="32"/>
        </w:rPr>
        <w:t>推动线上线下政务服务能力整体提升，健全“高效办成一件事”重点事项清单管理机制和常态化推进机制，</w:t>
      </w:r>
      <w:r>
        <w:rPr>
          <w:rFonts w:hint="default" w:ascii="Times New Roman" w:hAnsi="Times New Roman" w:eastAsia="仿宋_GB2312" w:cs="Times New Roman"/>
          <w:color w:val="auto"/>
          <w:spacing w:val="0"/>
          <w:sz w:val="32"/>
          <w:szCs w:val="32"/>
          <w:highlight w:val="none"/>
          <w:lang w:val="en-US" w:eastAsia="zh-CN"/>
        </w:rPr>
        <w:t>市级“一件事一次办”数量累</w:t>
      </w:r>
      <w:r>
        <w:rPr>
          <w:rFonts w:hint="default" w:ascii="Times New Roman" w:hAnsi="Times New Roman" w:eastAsia="仿宋_GB2312" w:cs="Times New Roman"/>
          <w:color w:val="auto"/>
          <w:sz w:val="32"/>
          <w:szCs w:val="32"/>
          <w:lang w:val="en-US" w:eastAsia="zh-CN"/>
        </w:rPr>
        <w:t>计达45个，基本实现高频政务服务事项</w:t>
      </w:r>
      <w:r>
        <w:rPr>
          <w:rFonts w:hint="default" w:ascii="Times New Roman" w:hAnsi="Times New Roman" w:eastAsia="仿宋_GB2312" w:cs="Times New Roman"/>
          <w:color w:val="auto"/>
          <w:sz w:val="32"/>
          <w:szCs w:val="32"/>
        </w:rPr>
        <w:t>“集成办”“免证办”“掌上办”“就近办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上门办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推动全</w:t>
      </w:r>
      <w:r>
        <w:rPr>
          <w:rFonts w:hint="default"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rPr>
        <w:t>政务服务能力整体提升。到2027年，基本形成泛在可及、智慧便捷、公平普惠的高效政务服务体系，实现企业和个人两个全生命周期重要阶段“高效办成一件事”重点事项落地见效，大幅提升企业群众办事满意度、获得感。</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outlineLvl w:val="0"/>
        <w:rPr>
          <w:rFonts w:hint="default" w:ascii="Times New Roman" w:hAnsi="Times New Roman" w:eastAsia="黑体" w:cs="Times New Roman"/>
          <w:b w:val="0"/>
          <w:bCs w:val="0"/>
          <w:color w:val="auto"/>
          <w:spacing w:val="0"/>
          <w:sz w:val="32"/>
          <w:szCs w:val="32"/>
          <w:highlight w:val="none"/>
        </w:rPr>
      </w:pPr>
      <w:r>
        <w:rPr>
          <w:rFonts w:hint="default" w:ascii="Times New Roman" w:hAnsi="Times New Roman" w:eastAsia="黑体" w:cs="Times New Roman"/>
          <w:b w:val="0"/>
          <w:bCs w:val="0"/>
          <w:color w:val="auto"/>
          <w:spacing w:val="0"/>
          <w:sz w:val="32"/>
          <w:szCs w:val="32"/>
          <w:highlight w:val="none"/>
        </w:rPr>
        <w:t>二、具体任务</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一</w:t>
      </w: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优化线上线下融合的政务服务体系</w:t>
      </w:r>
    </w:p>
    <w:p>
      <w:pPr>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right="0" w:rightChars="0" w:firstLine="643"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rPr>
        <w:t>1.</w:t>
      </w:r>
      <w:r>
        <w:rPr>
          <w:rFonts w:hint="default" w:ascii="Times New Roman" w:hAnsi="Times New Roman" w:eastAsia="仿宋_GB2312" w:cs="Times New Roman"/>
          <w:b/>
          <w:bCs/>
          <w:color w:val="auto"/>
          <w:spacing w:val="0"/>
          <w:sz w:val="32"/>
          <w:szCs w:val="32"/>
          <w:highlight w:val="none"/>
          <w:lang w:val="en-US" w:eastAsia="zh-CN"/>
        </w:rPr>
        <w:t xml:space="preserve"> 推进线下办事“只进一门”</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rPr>
        <w:t>进一步推进政务服务线上线下标准统一、全面融合、服务同质，线下“进一门、到一窗、一次办”</w:t>
      </w:r>
      <w:r>
        <w:rPr>
          <w:rFonts w:hint="default" w:ascii="Times New Roman" w:hAnsi="Times New Roman" w:eastAsia="仿宋_GB2312" w:cs="Times New Roman"/>
          <w:color w:val="auto"/>
          <w:spacing w:val="0"/>
          <w:sz w:val="32"/>
          <w:szCs w:val="32"/>
          <w:highlight w:val="none"/>
          <w:lang w:eastAsia="zh-CN"/>
        </w:rPr>
        <w:t>。不断优化线下窗口服务，推进“综窗”服务向“一件事”、主题式服务优化整合。</w:t>
      </w:r>
      <w:r>
        <w:rPr>
          <w:rFonts w:hint="default" w:ascii="Times New Roman" w:hAnsi="Times New Roman" w:eastAsia="仿宋_GB2312" w:cs="Times New Roman"/>
          <w:color w:val="auto"/>
          <w:spacing w:val="0"/>
          <w:sz w:val="32"/>
          <w:szCs w:val="32"/>
          <w:highlight w:val="none"/>
        </w:rPr>
        <w:t>持续优化“15分钟政务服务圈”</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不断深化“政银合作”等多元服务模式，</w:t>
      </w:r>
      <w:r>
        <w:rPr>
          <w:rFonts w:hint="default" w:ascii="Times New Roman" w:hAnsi="Times New Roman" w:eastAsia="仿宋_GB2312" w:cs="Times New Roman"/>
          <w:color w:val="auto"/>
          <w:spacing w:val="0"/>
          <w:sz w:val="32"/>
          <w:szCs w:val="32"/>
          <w:highlight w:val="none"/>
          <w:lang w:val="en-US" w:eastAsia="zh-CN"/>
        </w:rPr>
        <w:t>探索</w:t>
      </w:r>
      <w:r>
        <w:rPr>
          <w:rFonts w:hint="default" w:ascii="Times New Roman" w:hAnsi="Times New Roman" w:eastAsia="仿宋_GB2312" w:cs="Times New Roman"/>
          <w:color w:val="auto"/>
          <w:spacing w:val="0"/>
          <w:sz w:val="32"/>
          <w:szCs w:val="32"/>
          <w:highlight w:val="none"/>
        </w:rPr>
        <w:t>开展“政务+”警务、邮政等新模式试点，提升一体集成式自助终端服务能力，实现更多政务服务事项</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就近办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家门口办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上门办”</w:t>
      </w:r>
      <w:r>
        <w:rPr>
          <w:rFonts w:hint="default" w:ascii="Times New Roman" w:hAnsi="Times New Roman" w:eastAsia="仿宋_GB2312" w:cs="Times New Roman"/>
          <w:color w:val="auto"/>
          <w:spacing w:val="0"/>
          <w:sz w:val="32"/>
          <w:szCs w:val="32"/>
          <w:highlight w:val="none"/>
        </w:rPr>
        <w:t>。健全完善帮代办服务机制，聚焦企业开办、投资建设、工程建设、民生等领域以及残疾人、老年人等特殊群体提供精准化、定制化服务</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牵头部门：市行政审批局；责任部门：市各有关部门</w:t>
      </w:r>
      <w:r>
        <w:rPr>
          <w:rFonts w:hint="default" w:ascii="Times New Roman" w:hAnsi="Times New Roman" w:eastAsia="楷体_GB2312" w:cs="Times New Roman"/>
          <w:color w:val="auto"/>
          <w:spacing w:val="0"/>
          <w:sz w:val="32"/>
          <w:szCs w:val="32"/>
          <w:highlight w:val="none"/>
          <w:lang w:eastAsia="zh-CN"/>
        </w:rPr>
        <w:t>、各区镇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right="0" w:rightChars="0" w:firstLine="643"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2</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bCs/>
          <w:color w:val="auto"/>
          <w:spacing w:val="0"/>
          <w:sz w:val="32"/>
          <w:szCs w:val="32"/>
          <w:highlight w:val="none"/>
          <w:lang w:val="en-US" w:eastAsia="zh-CN"/>
        </w:rPr>
        <w:t xml:space="preserve"> 推进线上办事“一网通办”</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val="0"/>
          <w:bCs w:val="0"/>
          <w:color w:val="auto"/>
          <w:spacing w:val="0"/>
          <w:sz w:val="32"/>
          <w:szCs w:val="32"/>
          <w:highlight w:val="none"/>
          <w:lang w:val="en-US" w:eastAsia="zh-CN"/>
        </w:rPr>
        <w:t>依托全国、省、苏州市政务服务一体化平台，持续优化我市“一网通办”建设，</w:t>
      </w:r>
      <w:r>
        <w:rPr>
          <w:rFonts w:hint="default" w:ascii="Times New Roman" w:hAnsi="Times New Roman" w:eastAsia="仿宋_GB2312" w:cs="Times New Roman"/>
          <w:color w:val="auto"/>
          <w:spacing w:val="0"/>
          <w:sz w:val="32"/>
          <w:szCs w:val="32"/>
          <w:highlight w:val="none"/>
          <w:lang w:val="en-US" w:eastAsia="zh-CN"/>
        </w:rPr>
        <w:t>加强</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太仓一网通办平台</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PC端、移动端、自助端和窗口端“四端融合”</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实现线上“入一口、好办事、管全程”</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推动更多政务服务事项线上线下服务能力和水平同步提升，满足企业和群众多样化的办事需求。加强“政务服务数字地图”运营管理，丰富服务内容，为企业群众在线提供各级政务服务大厅、自助服务终端</w:t>
      </w:r>
      <w:r>
        <w:rPr>
          <w:rFonts w:hint="default" w:ascii="Times New Roman" w:hAnsi="Times New Roman" w:eastAsia="仿宋_GB2312" w:cs="Times New Roman"/>
          <w:color w:val="auto"/>
          <w:spacing w:val="0"/>
          <w:sz w:val="32"/>
          <w:szCs w:val="32"/>
          <w:highlight w:val="none"/>
          <w:lang w:val="en-US" w:eastAsia="zh-CN"/>
        </w:rPr>
        <w:t>等</w:t>
      </w:r>
      <w:r>
        <w:rPr>
          <w:rFonts w:hint="default" w:ascii="Times New Roman" w:hAnsi="Times New Roman" w:eastAsia="仿宋_GB2312" w:cs="Times New Roman"/>
          <w:color w:val="auto"/>
          <w:spacing w:val="0"/>
          <w:sz w:val="32"/>
          <w:szCs w:val="32"/>
          <w:highlight w:val="none"/>
        </w:rPr>
        <w:t>各类服务网点的服务信息及路线导航查询。</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牵头部门：市行政审批局；责任部门：市各有关部门</w:t>
      </w:r>
      <w:r>
        <w:rPr>
          <w:rFonts w:hint="default" w:ascii="Times New Roman" w:hAnsi="Times New Roman" w:eastAsia="楷体_GB2312" w:cs="Times New Roman"/>
          <w:color w:val="auto"/>
          <w:spacing w:val="0"/>
          <w:sz w:val="32"/>
          <w:szCs w:val="32"/>
          <w:highlight w:val="none"/>
          <w:lang w:eastAsia="zh-CN"/>
        </w:rPr>
        <w:t>、各区镇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3</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bCs/>
          <w:color w:val="auto"/>
          <w:spacing w:val="0"/>
          <w:sz w:val="32"/>
          <w:szCs w:val="32"/>
          <w:highlight w:val="none"/>
          <w:lang w:val="en-US" w:eastAsia="zh-CN"/>
        </w:rPr>
        <w:t xml:space="preserve"> 推进企业和群众诉求“一线应答”</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rPr>
        <w:t>全力推动“</w:t>
      </w:r>
      <w:r>
        <w:rPr>
          <w:rFonts w:hint="default" w:ascii="Times New Roman" w:hAnsi="Times New Roman" w:eastAsia="仿宋_GB2312" w:cs="Times New Roman"/>
          <w:color w:val="auto"/>
          <w:spacing w:val="0"/>
          <w:sz w:val="32"/>
          <w:szCs w:val="32"/>
          <w:highlight w:val="none"/>
          <w:lang w:val="en-US" w:eastAsia="zh-CN"/>
        </w:rPr>
        <w:t>联动娄城</w:t>
      </w:r>
      <w:r>
        <w:rPr>
          <w:rFonts w:hint="default" w:ascii="Times New Roman" w:hAnsi="Times New Roman" w:eastAsia="仿宋_GB2312" w:cs="Times New Roman"/>
          <w:color w:val="auto"/>
          <w:spacing w:val="0"/>
          <w:sz w:val="32"/>
          <w:szCs w:val="32"/>
          <w:highlight w:val="none"/>
        </w:rPr>
        <w:t>”网络问政改革，进一步优化企业诉求收集处理反馈闭环管理机制，完善全市归并热线运行体系，不断推进政务热线改革创新和服务优化。优化运行“一企来”企业服务“专线+专窗”和“办不成事”反映窗口等工作，探索热线服务与政务服务更多融合发展成果。创新“3553”差评整改提升体系，融合汇集、研判、整改、评估、回访、提升全流程闭环提升机制，推进政务服务供给精细化。深化“尚贤”人才服务热线建设，探索“自助下单”等智能服务在热线服务中的更多实际应用，不断推动政务热线高质量发展。</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w:t>
      </w:r>
      <w:r>
        <w:rPr>
          <w:rFonts w:hint="default" w:ascii="Times New Roman" w:hAnsi="Times New Roman" w:eastAsia="楷体_GB2312" w:cs="Times New Roman"/>
          <w:color w:val="auto"/>
          <w:spacing w:val="0"/>
          <w:sz w:val="32"/>
          <w:szCs w:val="32"/>
          <w:highlight w:val="none"/>
          <w:lang w:val="en-US" w:eastAsia="zh-CN"/>
        </w:rPr>
        <w:t>综指中心、市工信局、市行政审批局</w:t>
      </w:r>
      <w:r>
        <w:rPr>
          <w:rFonts w:hint="default" w:ascii="Times New Roman" w:hAnsi="Times New Roman" w:eastAsia="楷体_GB2312" w:cs="Times New Roman"/>
          <w:color w:val="auto"/>
          <w:spacing w:val="0"/>
          <w:sz w:val="32"/>
          <w:szCs w:val="32"/>
          <w:highlight w:val="none"/>
        </w:rPr>
        <w:t>；责任部门：市各有关部门、各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二</w:t>
      </w: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深化政务</w:t>
      </w:r>
      <w:r>
        <w:rPr>
          <w:rFonts w:hint="default" w:ascii="Times New Roman" w:hAnsi="Times New Roman" w:eastAsia="楷体_GB2312" w:cs="Times New Roman"/>
          <w:color w:val="auto"/>
          <w:spacing w:val="0"/>
          <w:sz w:val="32"/>
          <w:szCs w:val="32"/>
          <w:highlight w:val="none"/>
        </w:rPr>
        <w:t>服务场景应用创新</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4. 推进关联事项集成办</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val="0"/>
          <w:bCs w:val="0"/>
          <w:color w:val="auto"/>
          <w:spacing w:val="0"/>
          <w:sz w:val="32"/>
          <w:szCs w:val="32"/>
          <w:highlight w:val="none"/>
          <w:lang w:val="en-US" w:eastAsia="zh-CN"/>
        </w:rPr>
        <w:t>从企业群众视角出发，将需要多个部门办理或跨层级办理，以及关联性强、办理量大、办理时间相对集中的多个事项集成办理。</w:t>
      </w:r>
      <w:r>
        <w:rPr>
          <w:rFonts w:hint="default" w:ascii="Times New Roman" w:hAnsi="Times New Roman" w:eastAsia="仿宋_GB2312" w:cs="Times New Roman"/>
          <w:color w:val="auto"/>
          <w:spacing w:val="0"/>
          <w:sz w:val="32"/>
          <w:szCs w:val="32"/>
          <w:highlight w:val="none"/>
        </w:rPr>
        <w:t>持续深化“一件事一次办”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积极</w:t>
      </w:r>
      <w:r>
        <w:rPr>
          <w:rFonts w:hint="default" w:ascii="Times New Roman" w:hAnsi="Times New Roman" w:eastAsia="仿宋_GB2312" w:cs="Times New Roman"/>
          <w:color w:val="auto"/>
          <w:spacing w:val="0"/>
          <w:sz w:val="32"/>
          <w:szCs w:val="32"/>
          <w:highlight w:val="none"/>
        </w:rPr>
        <w:t>推进</w:t>
      </w:r>
      <w:r>
        <w:rPr>
          <w:rFonts w:hint="default" w:ascii="Times New Roman" w:hAnsi="Times New Roman" w:eastAsia="仿宋_GB2312" w:cs="Times New Roman"/>
          <w:color w:val="auto"/>
          <w:spacing w:val="0"/>
          <w:sz w:val="32"/>
          <w:szCs w:val="32"/>
          <w:highlight w:val="none"/>
          <w:lang w:val="en-US" w:eastAsia="zh-CN"/>
        </w:rPr>
        <w:t>13项国</w:t>
      </w:r>
      <w:r>
        <w:rPr>
          <w:rFonts w:hint="default" w:ascii="Times New Roman" w:hAnsi="Times New Roman" w:eastAsia="仿宋_GB2312" w:cs="Times New Roman"/>
          <w:color w:val="auto"/>
          <w:spacing w:val="0"/>
          <w:sz w:val="32"/>
          <w:szCs w:val="32"/>
          <w:highlight w:val="none"/>
        </w:rPr>
        <w:t>定标准“一件事”</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26项省定标准“一件事”</w:t>
      </w:r>
      <w:r>
        <w:rPr>
          <w:rFonts w:hint="default" w:ascii="Times New Roman" w:hAnsi="Times New Roman" w:eastAsia="仿宋_GB2312" w:cs="Times New Roman"/>
          <w:color w:val="auto"/>
          <w:spacing w:val="0"/>
          <w:sz w:val="32"/>
          <w:szCs w:val="32"/>
          <w:highlight w:val="none"/>
        </w:rPr>
        <w:t>在全市范围全面落地。提质扩面市级“一件事”，梳理发布市级“一件事”事项清单，</w:t>
      </w:r>
      <w:r>
        <w:rPr>
          <w:rFonts w:hint="default" w:ascii="Times New Roman" w:hAnsi="Times New Roman" w:eastAsia="仿宋_GB2312" w:cs="Times New Roman"/>
          <w:color w:val="auto"/>
          <w:spacing w:val="0"/>
          <w:sz w:val="32"/>
          <w:szCs w:val="32"/>
          <w:highlight w:val="none"/>
          <w:lang w:val="en-US" w:eastAsia="zh-CN"/>
        </w:rPr>
        <w:t>在教育、不动产等领域</w:t>
      </w:r>
      <w:r>
        <w:rPr>
          <w:rFonts w:hint="default" w:ascii="Times New Roman" w:hAnsi="Times New Roman" w:eastAsia="仿宋_GB2312" w:cs="Times New Roman"/>
          <w:color w:val="auto"/>
          <w:spacing w:val="0"/>
          <w:sz w:val="32"/>
          <w:szCs w:val="32"/>
          <w:highlight w:val="none"/>
        </w:rPr>
        <w:t>探索特色“一件事”改革</w:t>
      </w:r>
      <w:r>
        <w:rPr>
          <w:rFonts w:hint="default" w:ascii="Times New Roman" w:hAnsi="Times New Roman" w:eastAsia="仿宋_GB2312" w:cs="Times New Roman"/>
          <w:color w:val="auto"/>
          <w:spacing w:val="0"/>
          <w:sz w:val="32"/>
          <w:szCs w:val="32"/>
          <w:highlight w:val="none"/>
          <w:lang w:val="en-US" w:eastAsia="zh-CN"/>
        </w:rPr>
        <w:t>创新应用场景，</w:t>
      </w:r>
      <w:r>
        <w:rPr>
          <w:rFonts w:hint="default" w:ascii="Times New Roman" w:hAnsi="Times New Roman" w:eastAsia="仿宋_GB2312" w:cs="Times New Roman"/>
          <w:color w:val="auto"/>
          <w:spacing w:val="0"/>
          <w:sz w:val="32"/>
          <w:szCs w:val="32"/>
          <w:highlight w:val="none"/>
        </w:rPr>
        <w:t>编制统一业务流程和办事指南，推动“一件事”主题事项接入“苏服办”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实现统一身份认证、统一办事入口</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推动“一件事”向“一类事”迭代升级，</w:t>
      </w:r>
      <w:r>
        <w:rPr>
          <w:rFonts w:hint="default" w:ascii="Times New Roman" w:hAnsi="Times New Roman" w:eastAsia="仿宋_GB2312" w:cs="Times New Roman"/>
          <w:color w:val="auto"/>
          <w:spacing w:val="0"/>
          <w:sz w:val="32"/>
          <w:szCs w:val="32"/>
          <w:highlight w:val="none"/>
          <w:lang w:eastAsia="zh-CN"/>
        </w:rPr>
        <w:t>通过集成服务、优化流程、提高效率，实现更广泛的服务覆盖和更高效的业务处理，为企业和群众提供更加便捷、高效的服务体验。</w:t>
      </w:r>
      <w:r>
        <w:rPr>
          <w:rFonts w:hint="default" w:ascii="Times New Roman" w:hAnsi="Times New Roman" w:eastAsia="仿宋_GB2312" w:cs="Times New Roman"/>
          <w:color w:val="auto"/>
          <w:spacing w:val="0"/>
          <w:sz w:val="32"/>
          <w:szCs w:val="32"/>
          <w:highlight w:val="none"/>
        </w:rPr>
        <w:t>建立“一件事”改革月报制度，加强对“一件事一次办”事项办理情况的跟踪评估和问题反馈</w:t>
      </w:r>
      <w:r>
        <w:rPr>
          <w:rFonts w:hint="default" w:ascii="Times New Roman" w:hAnsi="Times New Roman" w:eastAsia="仿宋_GB2312" w:cs="Times New Roman"/>
          <w:color w:val="auto"/>
          <w:spacing w:val="0"/>
          <w:sz w:val="32"/>
          <w:szCs w:val="32"/>
          <w:highlight w:val="none"/>
          <w:lang w:eastAsia="zh-CN"/>
        </w:rPr>
        <w:t>，进一步提升政务服务的质量和效率。（</w:t>
      </w:r>
      <w:r>
        <w:rPr>
          <w:rFonts w:hint="default" w:ascii="Times New Roman" w:hAnsi="Times New Roman" w:eastAsia="楷体_GB2312" w:cs="Times New Roman"/>
          <w:color w:val="auto"/>
          <w:spacing w:val="0"/>
          <w:sz w:val="32"/>
          <w:szCs w:val="32"/>
          <w:highlight w:val="none"/>
        </w:rPr>
        <w:t>牵头部门：</w:t>
      </w:r>
      <w:r>
        <w:rPr>
          <w:rFonts w:hint="default" w:ascii="Times New Roman" w:hAnsi="Times New Roman" w:eastAsia="楷体_GB2312" w:cs="Times New Roman"/>
          <w:color w:val="auto"/>
          <w:spacing w:val="0"/>
          <w:sz w:val="32"/>
          <w:szCs w:val="32"/>
          <w:highlight w:val="none"/>
          <w:lang w:val="en-US" w:eastAsia="zh-CN"/>
        </w:rPr>
        <w:t>市行政审批局；责任部门：市各有关部门、各区镇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5</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bCs/>
          <w:color w:val="auto"/>
          <w:spacing w:val="0"/>
          <w:sz w:val="32"/>
          <w:szCs w:val="32"/>
          <w:highlight w:val="none"/>
          <w:lang w:val="en-US" w:eastAsia="zh-CN"/>
        </w:rPr>
        <w:t xml:space="preserve"> </w:t>
      </w:r>
      <w:r>
        <w:rPr>
          <w:rFonts w:hint="default" w:ascii="Times New Roman" w:hAnsi="Times New Roman" w:eastAsia="仿宋_GB2312" w:cs="Times New Roman"/>
          <w:b/>
          <w:bCs/>
          <w:color w:val="auto"/>
          <w:spacing w:val="0"/>
          <w:sz w:val="32"/>
          <w:szCs w:val="32"/>
          <w:highlight w:val="none"/>
        </w:rPr>
        <w:t>推进</w:t>
      </w:r>
      <w:r>
        <w:rPr>
          <w:rFonts w:hint="default" w:ascii="Times New Roman" w:hAnsi="Times New Roman" w:eastAsia="仿宋_GB2312" w:cs="Times New Roman"/>
          <w:b/>
          <w:bCs/>
          <w:color w:val="auto"/>
          <w:spacing w:val="0"/>
          <w:sz w:val="32"/>
          <w:szCs w:val="32"/>
          <w:highlight w:val="none"/>
          <w:lang w:val="en-US" w:eastAsia="zh-CN"/>
        </w:rPr>
        <w:t>容缺事项承诺办</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val="0"/>
          <w:bCs w:val="0"/>
          <w:color w:val="auto"/>
          <w:spacing w:val="0"/>
          <w:sz w:val="32"/>
          <w:szCs w:val="32"/>
          <w:highlight w:val="none"/>
          <w:lang w:val="en-US" w:eastAsia="zh-CN"/>
        </w:rPr>
        <w:t>以政务服务部门清楚告知、企业群众诚信守诺为基础，对风险可控、纠错成本低且能通过事中事后监管有效防范风险的政务服务事项，</w:t>
      </w:r>
      <w:r>
        <w:rPr>
          <w:rFonts w:hint="default" w:ascii="Times New Roman" w:hAnsi="Times New Roman" w:eastAsia="仿宋_GB2312" w:cs="Times New Roman"/>
          <w:color w:val="auto"/>
          <w:spacing w:val="0"/>
          <w:sz w:val="32"/>
          <w:szCs w:val="32"/>
          <w:highlight w:val="none"/>
        </w:rPr>
        <w:t>推行</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告知承诺+容缺办理</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审批服务模式。</w:t>
      </w:r>
      <w:r>
        <w:rPr>
          <w:rFonts w:hint="default" w:ascii="Times New Roman" w:hAnsi="Times New Roman" w:eastAsia="仿宋_GB2312" w:cs="Times New Roman"/>
          <w:color w:val="auto"/>
          <w:spacing w:val="0"/>
          <w:sz w:val="32"/>
          <w:szCs w:val="32"/>
          <w:highlight w:val="none"/>
        </w:rPr>
        <w:t>充分发挥社会信用在政务服务领域的基础作用，积极谋划“信用+政务服务”场景，实行信用承诺事项清单管理，明确承诺的具体内容、要求以及违反承诺应承担的法律责任，细化办事承诺方式和承诺事项监管细则，并向社会公布，接受社会监督。各部门</w:t>
      </w:r>
      <w:r>
        <w:rPr>
          <w:rFonts w:hint="default" w:ascii="Times New Roman" w:hAnsi="Times New Roman" w:eastAsia="仿宋_GB2312" w:cs="Times New Roman"/>
          <w:color w:val="auto"/>
          <w:spacing w:val="0"/>
          <w:sz w:val="32"/>
          <w:szCs w:val="32"/>
          <w:highlight w:val="none"/>
          <w:lang w:eastAsia="zh-CN"/>
        </w:rPr>
        <w:t>要</w:t>
      </w:r>
      <w:r>
        <w:rPr>
          <w:rFonts w:hint="default" w:ascii="Times New Roman" w:hAnsi="Times New Roman" w:eastAsia="仿宋_GB2312" w:cs="Times New Roman"/>
          <w:color w:val="auto"/>
          <w:spacing w:val="0"/>
          <w:sz w:val="32"/>
          <w:szCs w:val="32"/>
          <w:highlight w:val="none"/>
        </w:rPr>
        <w:t>制定信用承诺书格式文本，通过江苏政务服务网、</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太仓一网通办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总</w:t>
      </w:r>
      <w:r>
        <w:rPr>
          <w:rFonts w:hint="default" w:ascii="Times New Roman" w:hAnsi="Times New Roman" w:eastAsia="仿宋_GB2312" w:cs="Times New Roman"/>
          <w:color w:val="auto"/>
          <w:spacing w:val="0"/>
          <w:sz w:val="32"/>
          <w:szCs w:val="32"/>
          <w:highlight w:val="none"/>
        </w:rPr>
        <w:t>门户或现场办理政务事项窗口等途径公开，方便申请人获取并填写。</w:t>
      </w:r>
      <w:r>
        <w:rPr>
          <w:rFonts w:hint="default" w:ascii="Times New Roman" w:hAnsi="Times New Roman" w:eastAsia="仿宋_GB2312" w:cs="Times New Roman"/>
          <w:color w:val="auto"/>
          <w:spacing w:val="0"/>
          <w:sz w:val="32"/>
          <w:szCs w:val="32"/>
          <w:highlight w:val="none"/>
          <w:lang w:val="en-US" w:eastAsia="zh-CN"/>
        </w:rPr>
        <w:t>加强审批、监管、执法等部门协同，建立差异化的告知承诺</w:t>
      </w:r>
      <w:r>
        <w:rPr>
          <w:rFonts w:hint="default" w:ascii="Times New Roman" w:hAnsi="Times New Roman" w:eastAsia="仿宋_GB2312" w:cs="Times New Roman"/>
          <w:color w:val="auto"/>
          <w:spacing w:val="0"/>
          <w:sz w:val="32"/>
          <w:szCs w:val="32"/>
          <w:highlight w:val="none"/>
        </w:rPr>
        <w:t>事中事后核查监管</w:t>
      </w:r>
      <w:r>
        <w:rPr>
          <w:rFonts w:hint="default" w:ascii="Times New Roman" w:hAnsi="Times New Roman" w:eastAsia="仿宋_GB2312" w:cs="Times New Roman"/>
          <w:color w:val="auto"/>
          <w:spacing w:val="0"/>
          <w:sz w:val="32"/>
          <w:szCs w:val="32"/>
          <w:highlight w:val="none"/>
          <w:lang w:val="en-US" w:eastAsia="zh-CN"/>
        </w:rPr>
        <w:t>和风险防范机制</w:t>
      </w:r>
      <w:r>
        <w:rPr>
          <w:rFonts w:hint="default" w:ascii="Times New Roman" w:hAnsi="Times New Roman" w:eastAsia="仿宋_GB2312" w:cs="Times New Roman"/>
          <w:color w:val="auto"/>
          <w:spacing w:val="0"/>
          <w:sz w:val="32"/>
          <w:szCs w:val="32"/>
          <w:highlight w:val="none"/>
        </w:rPr>
        <w:t>，发现承诺不实的，</w:t>
      </w:r>
      <w:r>
        <w:rPr>
          <w:rFonts w:hint="default" w:ascii="Times New Roman" w:hAnsi="Times New Roman" w:eastAsia="仿宋_GB2312" w:cs="Times New Roman"/>
          <w:color w:val="auto"/>
          <w:spacing w:val="0"/>
          <w:sz w:val="32"/>
          <w:szCs w:val="32"/>
          <w:highlight w:val="none"/>
          <w:lang w:eastAsia="zh-CN"/>
        </w:rPr>
        <w:t>视情节严重实施</w:t>
      </w:r>
      <w:r>
        <w:rPr>
          <w:rFonts w:hint="default" w:ascii="Times New Roman" w:hAnsi="Times New Roman" w:eastAsia="仿宋_GB2312" w:cs="Times New Roman"/>
          <w:color w:val="auto"/>
          <w:spacing w:val="0"/>
          <w:sz w:val="32"/>
          <w:szCs w:val="32"/>
          <w:highlight w:val="none"/>
        </w:rPr>
        <w:t>依法终止办理、责令限期整改、撤销行政决定或者予以行政处罚</w:t>
      </w:r>
      <w:r>
        <w:rPr>
          <w:rFonts w:hint="default" w:ascii="Times New Roman" w:hAnsi="Times New Roman" w:eastAsia="仿宋_GB2312" w:cs="Times New Roman"/>
          <w:color w:val="auto"/>
          <w:spacing w:val="0"/>
          <w:sz w:val="32"/>
          <w:szCs w:val="32"/>
          <w:highlight w:val="none"/>
          <w:lang w:eastAsia="zh-CN"/>
        </w:rPr>
        <w:t>措施</w:t>
      </w:r>
      <w:r>
        <w:rPr>
          <w:rFonts w:hint="default" w:ascii="Times New Roman" w:hAnsi="Times New Roman" w:eastAsia="仿宋_GB2312" w:cs="Times New Roman"/>
          <w:color w:val="auto"/>
          <w:spacing w:val="0"/>
          <w:sz w:val="32"/>
          <w:szCs w:val="32"/>
          <w:highlight w:val="none"/>
        </w:rPr>
        <w:t>，并纳入信用记录</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涉嫌犯罪的，依法移送司法机关</w:t>
      </w:r>
      <w:r>
        <w:rPr>
          <w:rFonts w:hint="default" w:ascii="Times New Roman" w:hAnsi="Times New Roman" w:eastAsia="仿宋_GB2312" w:cs="Times New Roman"/>
          <w:color w:val="auto"/>
          <w:spacing w:val="0"/>
          <w:sz w:val="32"/>
          <w:szCs w:val="32"/>
          <w:highlight w:val="none"/>
          <w:lang w:eastAsia="zh-CN"/>
        </w:rPr>
        <w:t>处理</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w:t>
      </w:r>
      <w:r>
        <w:rPr>
          <w:rFonts w:hint="default" w:ascii="Times New Roman" w:hAnsi="Times New Roman" w:eastAsia="楷体_GB2312" w:cs="Times New Roman"/>
          <w:color w:val="auto"/>
          <w:spacing w:val="0"/>
          <w:sz w:val="32"/>
          <w:szCs w:val="32"/>
          <w:highlight w:val="none"/>
          <w:lang w:val="en-US" w:eastAsia="zh-CN"/>
        </w:rPr>
        <w:t>发改委</w:t>
      </w:r>
      <w:r>
        <w:rPr>
          <w:rFonts w:hint="default" w:ascii="Times New Roman" w:hAnsi="Times New Roman" w:eastAsia="楷体_GB2312" w:cs="Times New Roman"/>
          <w:color w:val="auto"/>
          <w:spacing w:val="0"/>
          <w:sz w:val="32"/>
          <w:szCs w:val="32"/>
          <w:highlight w:val="none"/>
          <w:lang w:eastAsia="zh-CN"/>
        </w:rPr>
        <w:t>、市司法局、市行政审批局；责任部门：市各有关部门、各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val="en-US" w:eastAsia="zh-CN"/>
        </w:rPr>
        <w:t>）</w:t>
      </w:r>
    </w:p>
    <w:p>
      <w:pPr>
        <w:keepNext w:val="0"/>
        <w:keepLines w:val="0"/>
        <w:pageBreakBefore w:val="0"/>
        <w:widowControl w:val="0"/>
        <w:kinsoku/>
        <w:wordWrap/>
        <w:overflowPunct/>
        <w:topLinePunct/>
        <w:autoSpaceDE/>
        <w:autoSpaceDN/>
        <w:bidi w:val="0"/>
        <w:adjustRightInd/>
        <w:snapToGrid/>
        <w:spacing w:line="560" w:lineRule="exact"/>
        <w:ind w:left="0" w:right="0" w:firstLine="643"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 xml:space="preserve">6. </w:t>
      </w:r>
      <w:r>
        <w:rPr>
          <w:rFonts w:hint="default" w:ascii="Times New Roman" w:hAnsi="Times New Roman" w:eastAsia="仿宋_GB2312" w:cs="Times New Roman"/>
          <w:b/>
          <w:bCs/>
          <w:color w:val="auto"/>
          <w:spacing w:val="0"/>
          <w:sz w:val="32"/>
          <w:szCs w:val="32"/>
          <w:highlight w:val="none"/>
        </w:rPr>
        <w:t>推进</w:t>
      </w:r>
      <w:r>
        <w:rPr>
          <w:rFonts w:hint="default" w:ascii="Times New Roman" w:hAnsi="Times New Roman" w:eastAsia="仿宋_GB2312" w:cs="Times New Roman"/>
          <w:b/>
          <w:bCs/>
          <w:color w:val="auto"/>
          <w:spacing w:val="0"/>
          <w:sz w:val="32"/>
          <w:szCs w:val="32"/>
          <w:highlight w:val="none"/>
          <w:lang w:val="en-US" w:eastAsia="zh-CN"/>
        </w:rPr>
        <w:t>异地事项</w:t>
      </w:r>
      <w:r>
        <w:rPr>
          <w:rFonts w:hint="default" w:ascii="Times New Roman" w:hAnsi="Times New Roman" w:eastAsia="仿宋_GB2312" w:cs="Times New Roman"/>
          <w:b/>
          <w:bCs/>
          <w:color w:val="auto"/>
          <w:spacing w:val="0"/>
          <w:sz w:val="32"/>
          <w:szCs w:val="32"/>
          <w:highlight w:val="none"/>
        </w:rPr>
        <w:t>跨域办</w:t>
      </w:r>
      <w:r>
        <w:rPr>
          <w:rFonts w:hint="default" w:ascii="Times New Roman" w:hAnsi="Times New Roman" w:eastAsia="仿宋_GB2312" w:cs="Times New Roman"/>
          <w:color w:val="auto"/>
          <w:spacing w:val="0"/>
          <w:sz w:val="32"/>
          <w:szCs w:val="32"/>
          <w:highlight w:val="none"/>
        </w:rPr>
        <w:t>。不断加强“跨域通办”事项和服务标准化建设，进一步完善建立“全程网办”“异地代收代办”“两地联办”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自助办”</w:t>
      </w:r>
      <w:r>
        <w:rPr>
          <w:rFonts w:hint="default" w:ascii="Times New Roman" w:hAnsi="Times New Roman" w:eastAsia="仿宋_GB2312" w:cs="Times New Roman"/>
          <w:color w:val="auto"/>
          <w:spacing w:val="0"/>
          <w:sz w:val="32"/>
          <w:szCs w:val="32"/>
          <w:highlight w:val="none"/>
        </w:rPr>
        <w:t>服务机制。完善就近申报、异地收件、远程流转、属地办理、跨层联办的跨域通办工作机制，</w:t>
      </w:r>
      <w:r>
        <w:rPr>
          <w:rFonts w:hint="default" w:ascii="Times New Roman" w:hAnsi="Times New Roman" w:eastAsia="仿宋_GB2312" w:cs="Times New Roman"/>
          <w:color w:val="auto"/>
          <w:spacing w:val="0"/>
          <w:sz w:val="32"/>
          <w:szCs w:val="32"/>
          <w:highlight w:val="none"/>
          <w:lang w:val="en-US" w:eastAsia="zh-CN"/>
        </w:rPr>
        <w:t>依托全国一体化政务服务平台，</w:t>
      </w:r>
      <w:r>
        <w:rPr>
          <w:rFonts w:hint="default" w:ascii="Times New Roman" w:hAnsi="Times New Roman" w:eastAsia="仿宋_GB2312" w:cs="Times New Roman"/>
          <w:color w:val="auto"/>
          <w:spacing w:val="0"/>
          <w:sz w:val="32"/>
          <w:szCs w:val="32"/>
          <w:highlight w:val="none"/>
        </w:rPr>
        <w:t>推进长三角“一网通办”“跨省通办”“省内通办”“全</w:t>
      </w:r>
      <w:r>
        <w:rPr>
          <w:rFonts w:hint="default" w:ascii="Times New Roman" w:hAnsi="Times New Roman" w:eastAsia="仿宋_GB2312" w:cs="Times New Roman"/>
          <w:color w:val="auto"/>
          <w:spacing w:val="0"/>
          <w:sz w:val="32"/>
          <w:szCs w:val="32"/>
          <w:highlight w:val="none"/>
          <w:lang w:val="en-US" w:eastAsia="zh-CN"/>
        </w:rPr>
        <w:t>域</w:t>
      </w:r>
      <w:r>
        <w:rPr>
          <w:rFonts w:hint="default" w:ascii="Times New Roman" w:hAnsi="Times New Roman" w:eastAsia="仿宋_GB2312" w:cs="Times New Roman"/>
          <w:color w:val="auto"/>
          <w:spacing w:val="0"/>
          <w:sz w:val="32"/>
          <w:szCs w:val="32"/>
          <w:highlight w:val="none"/>
        </w:rPr>
        <w:t>通办”。围绕公安、人社、医保、税务等领域，进一步推动政务服务“全市通办”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全面梳理“全市通办”事项，实行清单管理，统一服务标准、优化服务流程、创新服务方式，推动实现同一事项在不同地区无差别受理、同标准办理。</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eastAsia="zh-CN"/>
        </w:rPr>
        <w:t>牵头部门：市行政审批局；责任部门：市公安局、市人社局、市医保局、市税务局等市各有关部门、各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7</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bCs/>
          <w:color w:val="auto"/>
          <w:spacing w:val="0"/>
          <w:sz w:val="32"/>
          <w:szCs w:val="32"/>
          <w:highlight w:val="none"/>
          <w:lang w:val="en-US" w:eastAsia="zh-CN"/>
        </w:rPr>
        <w:t xml:space="preserve"> 推进政策服务免申办</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rPr>
        <w:t>依托</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企业服务总入口</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太仓一网通办</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等服务平台，</w:t>
      </w:r>
      <w:r>
        <w:rPr>
          <w:rFonts w:hint="default" w:ascii="Times New Roman" w:hAnsi="Times New Roman" w:eastAsia="仿宋_GB2312" w:cs="Times New Roman"/>
          <w:color w:val="auto"/>
          <w:spacing w:val="0"/>
          <w:sz w:val="32"/>
          <w:szCs w:val="32"/>
          <w:highlight w:val="none"/>
        </w:rPr>
        <w:t>建立常态化惠企政策直达机制。</w:t>
      </w:r>
      <w:r>
        <w:rPr>
          <w:rFonts w:hint="default" w:ascii="Times New Roman" w:hAnsi="Times New Roman" w:eastAsia="仿宋_GB2312" w:cs="Times New Roman"/>
          <w:color w:val="auto"/>
          <w:spacing w:val="0"/>
          <w:sz w:val="32"/>
          <w:szCs w:val="32"/>
          <w:highlight w:val="none"/>
          <w:lang w:val="en-US" w:eastAsia="zh-CN"/>
        </w:rPr>
        <w:t>全面梳理行政给付、资金补贴扶持、税收优惠等政策条件和适用规则</w:t>
      </w:r>
      <w:r>
        <w:rPr>
          <w:rFonts w:hint="default" w:ascii="Times New Roman" w:hAnsi="Times New Roman" w:eastAsia="仿宋_GB2312" w:cs="Times New Roman"/>
          <w:color w:val="auto"/>
          <w:spacing w:val="0"/>
          <w:sz w:val="32"/>
          <w:szCs w:val="32"/>
          <w:highlight w:val="none"/>
        </w:rPr>
        <w:t>，加强涉企信息归集共享，建设完善政策匹配模型，</w:t>
      </w:r>
      <w:r>
        <w:rPr>
          <w:rFonts w:hint="default" w:ascii="Times New Roman" w:hAnsi="Times New Roman" w:eastAsia="仿宋_GB2312" w:cs="Times New Roman"/>
          <w:color w:val="auto"/>
          <w:spacing w:val="0"/>
          <w:sz w:val="32"/>
          <w:szCs w:val="32"/>
          <w:highlight w:val="none"/>
          <w:lang w:val="en-US" w:eastAsia="zh-CN"/>
        </w:rPr>
        <w:t>实现惠企政策同源发布、精准匹配、直达可及、落地见效。</w:t>
      </w:r>
      <w:r>
        <w:rPr>
          <w:rFonts w:hint="default" w:ascii="Times New Roman" w:hAnsi="Times New Roman" w:eastAsia="仿宋_GB2312" w:cs="Times New Roman"/>
          <w:color w:val="auto"/>
          <w:spacing w:val="0"/>
          <w:sz w:val="32"/>
          <w:szCs w:val="32"/>
          <w:highlight w:val="none"/>
        </w:rPr>
        <w:t>围绕产业细分领域，持续提高政策兑现的便利度，在金融、人才等方面</w:t>
      </w:r>
      <w:r>
        <w:rPr>
          <w:rFonts w:hint="default" w:ascii="Times New Roman" w:hAnsi="Times New Roman" w:eastAsia="仿宋_GB2312" w:cs="Times New Roman"/>
          <w:color w:val="auto"/>
          <w:spacing w:val="0"/>
          <w:sz w:val="32"/>
          <w:szCs w:val="32"/>
          <w:highlight w:val="none"/>
          <w:lang w:val="en-US" w:eastAsia="zh-CN"/>
        </w:rPr>
        <w:t>持续</w:t>
      </w:r>
      <w:r>
        <w:rPr>
          <w:rFonts w:hint="default" w:ascii="Times New Roman" w:hAnsi="Times New Roman" w:eastAsia="仿宋_GB2312" w:cs="Times New Roman"/>
          <w:color w:val="auto"/>
          <w:spacing w:val="0"/>
          <w:sz w:val="32"/>
          <w:szCs w:val="32"/>
          <w:highlight w:val="none"/>
        </w:rPr>
        <w:t>推进“免申即享</w:t>
      </w:r>
      <w:r>
        <w:rPr>
          <w:rFonts w:hint="default" w:ascii="Times New Roman" w:hAnsi="Times New Roman" w:eastAsia="仿宋_GB2312" w:cs="Times New Roman"/>
          <w:color w:val="auto"/>
          <w:spacing w:val="0"/>
          <w:sz w:val="32"/>
          <w:szCs w:val="32"/>
          <w:highlight w:val="none"/>
          <w:lang w:val="en-US" w:eastAsia="zh-CN"/>
        </w:rPr>
        <w:t xml:space="preserve"> 提质扩面</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在公共资源交易领域实行招投标保证金“免申即退”</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提升政策智能解构、精准推送能力</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优化政务服务平台企业和个人专属空间，丰富政策库，及时</w:t>
      </w:r>
      <w:r>
        <w:rPr>
          <w:rFonts w:hint="default" w:ascii="Times New Roman" w:hAnsi="Times New Roman" w:eastAsia="仿宋_GB2312" w:cs="Times New Roman"/>
          <w:color w:val="auto"/>
          <w:spacing w:val="0"/>
          <w:sz w:val="32"/>
          <w:szCs w:val="32"/>
          <w:highlight w:val="none"/>
        </w:rPr>
        <w:t>发布政策事项，编制发布办事指南，公开申请条件，做好政策解读</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实现利企便民政策和服务精准直达。</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牵头部门：市工信局、</w:t>
      </w:r>
      <w:r>
        <w:rPr>
          <w:rFonts w:hint="default" w:ascii="Times New Roman" w:hAnsi="Times New Roman" w:eastAsia="楷体_GB2312" w:cs="Times New Roman"/>
          <w:color w:val="auto"/>
          <w:spacing w:val="0"/>
          <w:sz w:val="32"/>
          <w:szCs w:val="32"/>
          <w:highlight w:val="none"/>
          <w:lang w:val="en-US" w:eastAsia="zh-CN"/>
        </w:rPr>
        <w:t>市行政审批局、</w:t>
      </w:r>
      <w:r>
        <w:rPr>
          <w:rFonts w:hint="default" w:ascii="Times New Roman" w:hAnsi="Times New Roman" w:eastAsia="楷体_GB2312" w:cs="Times New Roman"/>
          <w:color w:val="auto"/>
          <w:spacing w:val="0"/>
          <w:sz w:val="32"/>
          <w:szCs w:val="32"/>
          <w:highlight w:val="none"/>
        </w:rPr>
        <w:t>市</w:t>
      </w:r>
      <w:r>
        <w:rPr>
          <w:rFonts w:hint="default" w:ascii="Times New Roman" w:hAnsi="Times New Roman" w:eastAsia="楷体_GB2312" w:cs="Times New Roman"/>
          <w:color w:val="auto"/>
          <w:spacing w:val="0"/>
          <w:sz w:val="32"/>
          <w:szCs w:val="32"/>
          <w:highlight w:val="none"/>
          <w:lang w:eastAsia="zh-CN"/>
        </w:rPr>
        <w:t>综指中心</w:t>
      </w:r>
      <w:r>
        <w:rPr>
          <w:rFonts w:hint="default" w:ascii="Times New Roman" w:hAnsi="Times New Roman" w:eastAsia="楷体_GB2312" w:cs="Times New Roman"/>
          <w:color w:val="auto"/>
          <w:spacing w:val="0"/>
          <w:sz w:val="32"/>
          <w:szCs w:val="32"/>
          <w:highlight w:val="none"/>
        </w:rPr>
        <w:t>；责任部门：市各有关部门</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楷体_GB2312" w:cs="Times New Roman"/>
          <w:color w:val="auto"/>
          <w:spacing w:val="0"/>
          <w:sz w:val="32"/>
          <w:szCs w:val="32"/>
          <w:highlight w:val="none"/>
          <w:lang w:val="en-US"/>
        </w:rPr>
      </w:pP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三</w:t>
      </w: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强化</w:t>
      </w:r>
      <w:r>
        <w:rPr>
          <w:rFonts w:hint="default" w:ascii="Times New Roman" w:hAnsi="Times New Roman" w:eastAsia="楷体_GB2312" w:cs="Times New Roman"/>
          <w:color w:val="auto"/>
          <w:spacing w:val="0"/>
          <w:sz w:val="32"/>
          <w:szCs w:val="32"/>
          <w:highlight w:val="none"/>
          <w:lang w:val="en-US" w:eastAsia="zh-CN"/>
        </w:rPr>
        <w:t>政务服务数字赋能</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val="en-US" w:eastAsia="zh-CN"/>
        </w:rPr>
        <w:t>8</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bCs/>
          <w:color w:val="auto"/>
          <w:spacing w:val="0"/>
          <w:sz w:val="32"/>
          <w:szCs w:val="32"/>
          <w:highlight w:val="none"/>
          <w:lang w:val="en-US" w:eastAsia="zh-CN"/>
        </w:rPr>
        <w:t xml:space="preserve"> </w:t>
      </w:r>
      <w:r>
        <w:rPr>
          <w:rFonts w:hint="default" w:ascii="Times New Roman" w:hAnsi="Times New Roman" w:eastAsia="仿宋_GB2312" w:cs="Times New Roman"/>
          <w:b/>
          <w:bCs/>
          <w:color w:val="auto"/>
          <w:spacing w:val="0"/>
          <w:sz w:val="32"/>
          <w:szCs w:val="32"/>
          <w:highlight w:val="none"/>
        </w:rPr>
        <w:t>增强</w:t>
      </w:r>
      <w:r>
        <w:rPr>
          <w:rFonts w:hint="default" w:ascii="Times New Roman" w:hAnsi="Times New Roman" w:eastAsia="仿宋_GB2312" w:cs="Times New Roman"/>
          <w:b/>
          <w:bCs/>
          <w:color w:val="auto"/>
          <w:spacing w:val="0"/>
          <w:sz w:val="32"/>
          <w:szCs w:val="32"/>
          <w:highlight w:val="none"/>
          <w:lang w:val="en-US" w:eastAsia="zh-CN"/>
        </w:rPr>
        <w:t>政务服务平台</w:t>
      </w:r>
      <w:r>
        <w:rPr>
          <w:rFonts w:hint="default" w:ascii="Times New Roman" w:hAnsi="Times New Roman" w:eastAsia="仿宋_GB2312" w:cs="Times New Roman"/>
          <w:b/>
          <w:bCs/>
          <w:color w:val="auto"/>
          <w:spacing w:val="0"/>
          <w:sz w:val="32"/>
          <w:szCs w:val="32"/>
          <w:highlight w:val="none"/>
        </w:rPr>
        <w:t>支撑</w:t>
      </w:r>
      <w:r>
        <w:rPr>
          <w:rFonts w:hint="default" w:ascii="Times New Roman" w:hAnsi="Times New Roman" w:eastAsia="仿宋_GB2312" w:cs="Times New Roman"/>
          <w:b/>
          <w:bCs/>
          <w:color w:val="auto"/>
          <w:spacing w:val="0"/>
          <w:sz w:val="32"/>
          <w:szCs w:val="32"/>
          <w:highlight w:val="none"/>
          <w:lang w:val="en-US" w:eastAsia="zh-CN"/>
        </w:rPr>
        <w:t>能力</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val="0"/>
          <w:bCs w:val="0"/>
          <w:color w:val="auto"/>
          <w:spacing w:val="0"/>
          <w:sz w:val="32"/>
          <w:szCs w:val="32"/>
          <w:highlight w:val="none"/>
          <w:lang w:val="en-US" w:eastAsia="zh-CN"/>
        </w:rPr>
        <w:t>依托省一体化政务服务平台</w:t>
      </w:r>
      <w:r>
        <w:rPr>
          <w:rFonts w:hint="default" w:ascii="Times New Roman" w:hAnsi="Times New Roman" w:eastAsia="仿宋_GB2312" w:cs="Times New Roman"/>
          <w:color w:val="auto"/>
          <w:spacing w:val="0"/>
          <w:sz w:val="32"/>
          <w:szCs w:val="32"/>
          <w:highlight w:val="none"/>
        </w:rPr>
        <w:t>持续优化统一身份认证、统一证照服务、统一事项服务、统一“好差评”、统一</w:t>
      </w:r>
      <w:r>
        <w:rPr>
          <w:rFonts w:hint="default" w:ascii="Times New Roman" w:hAnsi="Times New Roman" w:eastAsia="仿宋_GB2312" w:cs="Times New Roman"/>
          <w:color w:val="auto"/>
          <w:spacing w:val="0"/>
          <w:sz w:val="32"/>
          <w:szCs w:val="32"/>
          <w:highlight w:val="none"/>
          <w:lang w:val="en-US" w:eastAsia="zh-CN"/>
        </w:rPr>
        <w:t>快递</w:t>
      </w:r>
      <w:r>
        <w:rPr>
          <w:rFonts w:hint="default" w:ascii="Times New Roman" w:hAnsi="Times New Roman" w:eastAsia="仿宋_GB2312" w:cs="Times New Roman"/>
          <w:color w:val="auto"/>
          <w:spacing w:val="0"/>
          <w:sz w:val="32"/>
          <w:szCs w:val="32"/>
          <w:highlight w:val="none"/>
        </w:rPr>
        <w:t>等公共服务能力。推广政府侧电子印章发放和应用，推动企业电子印章和电子营业执照同步发放，建设自然人云签名能力，提升电子档案单套制归档能力，支撑政务服务事项全流程网办。</w:t>
      </w:r>
      <w:r>
        <w:rPr>
          <w:rFonts w:hint="default" w:ascii="Times New Roman" w:hAnsi="Times New Roman" w:eastAsia="仿宋_GB2312" w:cs="Times New Roman"/>
          <w:color w:val="auto"/>
          <w:spacing w:val="0"/>
          <w:sz w:val="32"/>
          <w:szCs w:val="32"/>
          <w:highlight w:val="none"/>
          <w:lang w:val="en-US" w:eastAsia="zh-CN"/>
        </w:rPr>
        <w:t>推动“高效办成一件事”系统与各部门业务办理系统数据互联互通，实现</w:t>
      </w:r>
      <w:r>
        <w:rPr>
          <w:rFonts w:hint="default" w:ascii="Times New Roman" w:hAnsi="Times New Roman" w:eastAsia="仿宋_GB2312" w:cs="Times New Roman"/>
          <w:color w:val="auto"/>
          <w:spacing w:val="0"/>
          <w:sz w:val="32"/>
          <w:szCs w:val="32"/>
          <w:highlight w:val="none"/>
        </w:rPr>
        <w:t>跨部门、跨层级、跨区域办件调度和业务协同。</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w:t>
      </w:r>
      <w:r>
        <w:rPr>
          <w:rFonts w:hint="default" w:ascii="Times New Roman" w:hAnsi="Times New Roman" w:eastAsia="楷体_GB2312" w:cs="Times New Roman"/>
          <w:color w:val="auto"/>
          <w:spacing w:val="0"/>
          <w:sz w:val="32"/>
          <w:szCs w:val="32"/>
          <w:highlight w:val="none"/>
          <w:lang w:eastAsia="zh-CN"/>
        </w:rPr>
        <w:t>综指中心</w:t>
      </w:r>
      <w:r>
        <w:rPr>
          <w:rFonts w:hint="default" w:ascii="Times New Roman" w:hAnsi="Times New Roman" w:eastAsia="楷体_GB2312" w:cs="Times New Roman"/>
          <w:color w:val="auto"/>
          <w:spacing w:val="0"/>
          <w:sz w:val="32"/>
          <w:szCs w:val="32"/>
          <w:highlight w:val="none"/>
        </w:rPr>
        <w:t>、市行政审批局</w:t>
      </w: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市档案馆</w:t>
      </w:r>
      <w:r>
        <w:rPr>
          <w:rFonts w:hint="default" w:ascii="Times New Roman" w:hAnsi="Times New Roman" w:eastAsia="楷体_GB2312" w:cs="Times New Roman"/>
          <w:color w:val="auto"/>
          <w:spacing w:val="0"/>
          <w:sz w:val="32"/>
          <w:szCs w:val="32"/>
          <w:highlight w:val="none"/>
        </w:rPr>
        <w:t>；责任部门：市各有关部门、各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val="en-US" w:eastAsia="zh-CN"/>
        </w:rPr>
        <w:t>9. 着力提升政务数据共享实效。</w:t>
      </w:r>
      <w:r>
        <w:rPr>
          <w:rFonts w:hint="default" w:ascii="Times New Roman" w:hAnsi="Times New Roman" w:eastAsia="仿宋_GB2312" w:cs="Times New Roman"/>
          <w:b w:val="0"/>
          <w:bCs w:val="0"/>
          <w:color w:val="auto"/>
          <w:spacing w:val="0"/>
          <w:sz w:val="32"/>
          <w:szCs w:val="32"/>
          <w:highlight w:val="none"/>
          <w:lang w:val="en-US" w:eastAsia="zh-CN"/>
        </w:rPr>
        <w:t>健全政务数据共享责任清单机制，依托省、苏州两级政务数据共享交换平台，推动政务数据向市政务数据资源中心汇聚。加强数据治理，</w:t>
      </w:r>
      <w:r>
        <w:rPr>
          <w:rFonts w:hint="default" w:ascii="Times New Roman" w:hAnsi="Times New Roman" w:eastAsia="仿宋_GB2312" w:cs="Times New Roman"/>
          <w:color w:val="auto"/>
          <w:spacing w:val="0"/>
          <w:sz w:val="32"/>
          <w:szCs w:val="32"/>
          <w:highlight w:val="none"/>
          <w:lang w:val="en-US" w:eastAsia="zh-CN"/>
        </w:rPr>
        <w:t>围绕企业和个人两个全生命周期编制“一企一档、一人一档”数据规范。</w:t>
      </w:r>
      <w:r>
        <w:rPr>
          <w:rFonts w:hint="default" w:ascii="Times New Roman" w:hAnsi="Times New Roman" w:eastAsia="仿宋_GB2312" w:cs="Times New Roman"/>
          <w:color w:val="auto"/>
          <w:spacing w:val="0"/>
          <w:sz w:val="32"/>
          <w:szCs w:val="32"/>
          <w:highlight w:val="none"/>
        </w:rPr>
        <w:t>全面提升网上办事深度，探索建立全流程网办负面清单制度，加快政务服务事项在“</w:t>
      </w:r>
      <w:r>
        <w:rPr>
          <w:rFonts w:hint="default" w:ascii="Times New Roman" w:hAnsi="Times New Roman" w:eastAsia="仿宋_GB2312" w:cs="Times New Roman"/>
          <w:color w:val="auto"/>
          <w:spacing w:val="0"/>
          <w:sz w:val="32"/>
          <w:szCs w:val="32"/>
          <w:highlight w:val="none"/>
          <w:lang w:val="en-US" w:eastAsia="zh-CN"/>
        </w:rPr>
        <w:t>太仓一网通办平台</w:t>
      </w:r>
      <w:r>
        <w:rPr>
          <w:rFonts w:hint="default" w:ascii="Times New Roman" w:hAnsi="Times New Roman" w:eastAsia="仿宋_GB2312" w:cs="Times New Roman"/>
          <w:color w:val="auto"/>
          <w:spacing w:val="0"/>
          <w:sz w:val="32"/>
          <w:szCs w:val="32"/>
          <w:highlight w:val="none"/>
        </w:rPr>
        <w:t>”应上尽上，实现统一管理、同源发布、同质服务。健全完善电子证照管理规范，强化电子证照共享责任，</w:t>
      </w:r>
      <w:r>
        <w:rPr>
          <w:rFonts w:hint="default" w:ascii="Times New Roman" w:hAnsi="Times New Roman" w:eastAsia="仿宋_GB2312" w:cs="Times New Roman"/>
          <w:color w:val="auto"/>
          <w:spacing w:val="0"/>
          <w:sz w:val="32"/>
          <w:szCs w:val="32"/>
          <w:highlight w:val="none"/>
          <w:lang w:val="en-US" w:eastAsia="zh-CN"/>
        </w:rPr>
        <w:t>提升我市</w:t>
      </w:r>
      <w:r>
        <w:rPr>
          <w:rFonts w:hint="default" w:ascii="Times New Roman" w:hAnsi="Times New Roman" w:eastAsia="仿宋_GB2312" w:cs="Times New Roman"/>
          <w:color w:val="auto"/>
          <w:spacing w:val="0"/>
          <w:sz w:val="32"/>
          <w:szCs w:val="32"/>
          <w:highlight w:val="none"/>
        </w:rPr>
        <w:t>电子证照系统应用支撑能力</w:t>
      </w:r>
      <w:r>
        <w:rPr>
          <w:rFonts w:hint="default" w:ascii="Times New Roman" w:hAnsi="Times New Roman" w:eastAsia="仿宋_GB2312" w:cs="Times New Roman"/>
          <w:color w:val="auto"/>
          <w:spacing w:val="0"/>
          <w:sz w:val="32"/>
          <w:szCs w:val="32"/>
          <w:highlight w:val="none"/>
          <w:lang w:eastAsia="zh-CN"/>
        </w:rPr>
        <w:t>，进一步</w:t>
      </w:r>
      <w:r>
        <w:rPr>
          <w:rFonts w:hint="default" w:ascii="Times New Roman" w:hAnsi="Times New Roman" w:eastAsia="仿宋_GB2312" w:cs="Times New Roman"/>
          <w:color w:val="auto"/>
          <w:spacing w:val="0"/>
          <w:sz w:val="32"/>
          <w:szCs w:val="32"/>
          <w:highlight w:val="none"/>
          <w:lang w:val="en-US" w:eastAsia="zh-CN"/>
        </w:rPr>
        <w:t>优化</w:t>
      </w:r>
      <w:r>
        <w:rPr>
          <w:rFonts w:hint="default" w:ascii="Times New Roman" w:hAnsi="Times New Roman" w:eastAsia="仿宋_GB2312" w:cs="Times New Roman"/>
          <w:color w:val="auto"/>
          <w:spacing w:val="0"/>
          <w:sz w:val="32"/>
          <w:szCs w:val="32"/>
          <w:highlight w:val="none"/>
        </w:rPr>
        <w:t>电子证照使用体验和使用效能。持续提升“免证办”用户体验和办理深度，推进涉企经营和民生服务常用证照电子化，</w:t>
      </w:r>
      <w:r>
        <w:rPr>
          <w:rFonts w:hint="default" w:ascii="Times New Roman" w:hAnsi="Times New Roman" w:eastAsia="仿宋_GB2312" w:cs="Times New Roman"/>
          <w:color w:val="auto"/>
          <w:spacing w:val="0"/>
          <w:sz w:val="32"/>
          <w:szCs w:val="32"/>
          <w:highlight w:val="none"/>
          <w:lang w:eastAsia="zh-CN"/>
        </w:rPr>
        <w:t>丰富</w:t>
      </w:r>
      <w:r>
        <w:rPr>
          <w:rFonts w:hint="default" w:ascii="Times New Roman" w:hAnsi="Times New Roman" w:eastAsia="仿宋_GB2312" w:cs="Times New Roman"/>
          <w:color w:val="auto"/>
          <w:spacing w:val="0"/>
          <w:sz w:val="32"/>
          <w:szCs w:val="32"/>
          <w:highlight w:val="none"/>
        </w:rPr>
        <w:t>身份证、出生医学证明、驾驶证、行驶证、电子营业执照等电子证照在高频单事项、“一件事”中的应用。</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w:t>
      </w:r>
      <w:r>
        <w:rPr>
          <w:rFonts w:hint="default" w:ascii="Times New Roman" w:hAnsi="Times New Roman" w:eastAsia="楷体_GB2312" w:cs="Times New Roman"/>
          <w:color w:val="auto"/>
          <w:spacing w:val="0"/>
          <w:sz w:val="32"/>
          <w:szCs w:val="32"/>
          <w:highlight w:val="none"/>
          <w:lang w:eastAsia="zh-CN"/>
        </w:rPr>
        <w:t>综指中心</w:t>
      </w:r>
      <w:r>
        <w:rPr>
          <w:rFonts w:hint="default" w:ascii="Times New Roman" w:hAnsi="Times New Roman" w:eastAsia="楷体_GB2312" w:cs="Times New Roman"/>
          <w:color w:val="auto"/>
          <w:spacing w:val="0"/>
          <w:sz w:val="32"/>
          <w:szCs w:val="32"/>
          <w:highlight w:val="none"/>
        </w:rPr>
        <w:t>；责任部门：市各有关部门、各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val="en-US" w:eastAsia="zh-CN"/>
        </w:rPr>
        <w:t>10. 持续加强新技术全流程应用。</w:t>
      </w:r>
      <w:r>
        <w:rPr>
          <w:rFonts w:hint="default" w:ascii="Times New Roman" w:hAnsi="Times New Roman" w:eastAsia="仿宋_GB2312" w:cs="Times New Roman"/>
          <w:color w:val="auto"/>
          <w:spacing w:val="0"/>
          <w:sz w:val="32"/>
          <w:szCs w:val="32"/>
          <w:highlight w:val="none"/>
        </w:rPr>
        <w:t>充分依托大数据应用和</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人工智能</w:t>
      </w:r>
      <w:r>
        <w:rPr>
          <w:rFonts w:hint="default"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rPr>
        <w:t>等技术，优化</w:t>
      </w:r>
      <w:r>
        <w:rPr>
          <w:rFonts w:hint="default" w:ascii="Times New Roman" w:hAnsi="Times New Roman" w:eastAsia="仿宋_GB2312" w:cs="Times New Roman"/>
          <w:color w:val="auto"/>
          <w:spacing w:val="0"/>
          <w:sz w:val="32"/>
          <w:szCs w:val="32"/>
          <w:highlight w:val="none"/>
          <w:lang w:val="en-US" w:eastAsia="zh-CN"/>
        </w:rPr>
        <w:t>重构申请条件、申报方式、受理模式、审核程序、发证方式、管理架构，完善智能预填、智能预审等服务功能，逐步实现政务服务向人机交互和数据分析方向转型发展。探索应用自然语言大模型等技术，提升线上客服的意图识别和精准回答能力，优化智能问答、智能搜索、智能导办等服务，</w:t>
      </w:r>
      <w:r>
        <w:rPr>
          <w:rFonts w:hint="default" w:ascii="Times New Roman" w:hAnsi="Times New Roman" w:eastAsia="仿宋_GB2312" w:cs="Times New Roman"/>
          <w:color w:val="auto"/>
          <w:spacing w:val="0"/>
          <w:sz w:val="32"/>
          <w:szCs w:val="32"/>
          <w:highlight w:val="none"/>
        </w:rPr>
        <w:t>提升审批效率，</w:t>
      </w:r>
      <w:r>
        <w:rPr>
          <w:rFonts w:hint="default" w:ascii="Times New Roman" w:hAnsi="Times New Roman" w:eastAsia="仿宋_GB2312" w:cs="Times New Roman"/>
          <w:color w:val="auto"/>
          <w:spacing w:val="0"/>
          <w:sz w:val="32"/>
          <w:szCs w:val="32"/>
          <w:highlight w:val="none"/>
          <w:lang w:eastAsia="zh-CN"/>
        </w:rPr>
        <w:t>打造</w:t>
      </w:r>
      <w:r>
        <w:rPr>
          <w:rFonts w:hint="default" w:ascii="Times New Roman" w:hAnsi="Times New Roman" w:eastAsia="仿宋_GB2312" w:cs="Times New Roman"/>
          <w:color w:val="auto"/>
          <w:spacing w:val="0"/>
          <w:sz w:val="32"/>
          <w:szCs w:val="32"/>
          <w:highlight w:val="none"/>
        </w:rPr>
        <w:t>一批智能填报、智能辅助审批和人工智能审批示范性场景。</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w:t>
      </w:r>
      <w:r>
        <w:rPr>
          <w:rFonts w:hint="default" w:ascii="Times New Roman" w:hAnsi="Times New Roman" w:eastAsia="楷体_GB2312" w:cs="Times New Roman"/>
          <w:color w:val="auto"/>
          <w:spacing w:val="0"/>
          <w:sz w:val="32"/>
          <w:szCs w:val="32"/>
          <w:highlight w:val="none"/>
          <w:lang w:eastAsia="zh-CN"/>
        </w:rPr>
        <w:t>综指中心</w:t>
      </w:r>
      <w:r>
        <w:rPr>
          <w:rFonts w:hint="default" w:ascii="Times New Roman" w:hAnsi="Times New Roman" w:eastAsia="楷体_GB2312" w:cs="Times New Roman"/>
          <w:color w:val="auto"/>
          <w:spacing w:val="0"/>
          <w:sz w:val="32"/>
          <w:szCs w:val="32"/>
          <w:highlight w:val="none"/>
        </w:rPr>
        <w:t>、市行政审批局；责任部门：市各有关部门、各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四</w:t>
      </w: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推动政务服务扩面增效</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11. 强化帮办代办服务。</w:t>
      </w:r>
      <w:r>
        <w:rPr>
          <w:rFonts w:hint="default" w:ascii="Times New Roman" w:hAnsi="Times New Roman" w:eastAsia="仿宋_GB2312" w:cs="Times New Roman"/>
          <w:b w:val="0"/>
          <w:bCs w:val="0"/>
          <w:color w:val="auto"/>
          <w:spacing w:val="0"/>
          <w:sz w:val="32"/>
          <w:szCs w:val="32"/>
          <w:highlight w:val="none"/>
          <w:lang w:val="en-US" w:eastAsia="zh-CN"/>
        </w:rPr>
        <w:t>健全线上线下帮办代办体系，明确帮办代办工作职责、责任边界、服务内容、保障机制等。优化线上高频服务事项帮办代办，通过开展远程协助，提供统一业务咨询、审前辅导、远程导办等帮办代办服务。细化线下帮办代办工作流程，为老年人、残疾人等特殊群体提供定制化服务。推动在特色产业园区建立包联领导、服务专班和首席服务员工作机制，为项目提供全流程帮办代办服务。（</w:t>
      </w:r>
      <w:r>
        <w:rPr>
          <w:rFonts w:hint="default" w:ascii="Times New Roman" w:hAnsi="Times New Roman" w:eastAsia="楷体_GB2312" w:cs="Times New Roman"/>
          <w:b w:val="0"/>
          <w:bCs w:val="0"/>
          <w:color w:val="auto"/>
          <w:spacing w:val="0"/>
          <w:sz w:val="32"/>
          <w:szCs w:val="32"/>
          <w:highlight w:val="none"/>
          <w:lang w:val="en-US" w:eastAsia="zh-CN"/>
        </w:rPr>
        <w:t>牵头单位：市行政审批局；</w:t>
      </w:r>
      <w:r>
        <w:rPr>
          <w:rFonts w:hint="default" w:ascii="Times New Roman" w:hAnsi="Times New Roman" w:eastAsia="楷体_GB2312" w:cs="Times New Roman"/>
          <w:color w:val="auto"/>
          <w:spacing w:val="0"/>
          <w:sz w:val="32"/>
          <w:szCs w:val="32"/>
          <w:highlight w:val="none"/>
        </w:rPr>
        <w:t>责任部门：市各有关部门、各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b w:val="0"/>
          <w:bCs w:val="0"/>
          <w:color w:val="auto"/>
          <w:spacing w:val="0"/>
          <w:sz w:val="32"/>
          <w:szCs w:val="32"/>
          <w:highlight w:val="none"/>
          <w:lang w:val="en-US"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楷体_GB2312" w:cs="Times New Roman"/>
          <w:b w:val="0"/>
          <w:bCs w:val="0"/>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12. 优化公共服务供给</w:t>
      </w:r>
      <w:r>
        <w:rPr>
          <w:rFonts w:hint="default" w:ascii="Times New Roman" w:hAnsi="Times New Roman" w:eastAsia="仿宋_GB2312" w:cs="Times New Roman"/>
          <w:b w:val="0"/>
          <w:bCs w:val="0"/>
          <w:color w:val="auto"/>
          <w:spacing w:val="0"/>
          <w:sz w:val="32"/>
          <w:szCs w:val="32"/>
          <w:highlight w:val="none"/>
          <w:lang w:val="en-US" w:eastAsia="zh-CN"/>
        </w:rPr>
        <w:t>。优化公共教育、劳动就业、医疗卫生、养老服务、托育服务、住房保障、社会救助等领域公共服务供给，推动水电气热、网络通信等公用事业领域高频办理服务事项纳入政务服务中心，按标准接入政务服务平台实现一体化管理。推动公用事业单位从企业群众视角梳理服务事项，强化流程优化、系统联通、数据共享和业务协同，重点推进水电气网报装、投资建设审批等关联事项跨领域集成办理。</w:t>
      </w:r>
      <w:r>
        <w:rPr>
          <w:rFonts w:hint="default" w:ascii="Times New Roman" w:hAnsi="Times New Roman" w:eastAsia="楷体_GB2312" w:cs="Times New Roman"/>
          <w:b w:val="0"/>
          <w:bCs w:val="0"/>
          <w:color w:val="auto"/>
          <w:spacing w:val="0"/>
          <w:sz w:val="32"/>
          <w:szCs w:val="32"/>
          <w:highlight w:val="none"/>
          <w:lang w:val="en-US" w:eastAsia="zh-CN"/>
        </w:rPr>
        <w:t>（责任单位：市教育局、市人社局、市卫健委、市民政局、市住建局、市行政审批局、水务集团、供电公司、广电网络有限公司、电信公司、移动公司、联通公司等各相关单位）</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13. 拓展增值服务内容</w:t>
      </w:r>
      <w:r>
        <w:rPr>
          <w:rFonts w:hint="default" w:ascii="Times New Roman" w:hAnsi="Times New Roman" w:eastAsia="仿宋_GB2312" w:cs="Times New Roman"/>
          <w:b w:val="0"/>
          <w:bCs w:val="0"/>
          <w:color w:val="auto"/>
          <w:spacing w:val="0"/>
          <w:sz w:val="32"/>
          <w:szCs w:val="32"/>
          <w:highlight w:val="none"/>
          <w:lang w:val="en-US" w:eastAsia="zh-CN"/>
        </w:rPr>
        <w:t>。依托线上线下政务服务渠道，打造更多定制化、套餐式、模块化的涉企服务“一类事”场景，为企业提供综合咨询、培育指导、政策兑现、纾困解难、投诉受理等“一站式”“一网办”的优质衍生服务。探索统筹行业协会商会、市场化专业服务机构和工信、司法、金融、人社、科技、商务等部门涉企服务资源，为企业提供政策、法律、金融、人才、科创、国际贸易、投诉受理等定制化、套餐式服务。（</w:t>
      </w:r>
      <w:r>
        <w:rPr>
          <w:rFonts w:hint="default" w:ascii="Times New Roman" w:hAnsi="Times New Roman" w:eastAsia="楷体_GB2312" w:cs="Times New Roman"/>
          <w:b w:val="0"/>
          <w:bCs w:val="0"/>
          <w:color w:val="auto"/>
          <w:spacing w:val="0"/>
          <w:sz w:val="32"/>
          <w:szCs w:val="32"/>
          <w:highlight w:val="none"/>
          <w:lang w:val="en-US" w:eastAsia="zh-CN"/>
        </w:rPr>
        <w:t>牵头单位：市工信局、市行政审批局；</w:t>
      </w:r>
      <w:r>
        <w:rPr>
          <w:rFonts w:hint="default" w:ascii="Times New Roman" w:hAnsi="Times New Roman" w:eastAsia="楷体_GB2312" w:cs="Times New Roman"/>
          <w:color w:val="auto"/>
          <w:spacing w:val="0"/>
          <w:sz w:val="32"/>
          <w:szCs w:val="32"/>
          <w:highlight w:val="none"/>
        </w:rPr>
        <w:t>责任部门：市各有关部门、各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b w:val="0"/>
          <w:bCs w:val="0"/>
          <w:color w:val="auto"/>
          <w:spacing w:val="0"/>
          <w:sz w:val="32"/>
          <w:szCs w:val="32"/>
          <w:highlight w:val="none"/>
          <w:lang w:val="en-US"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五</w:t>
      </w:r>
      <w:r>
        <w:rPr>
          <w:rFonts w:hint="default" w:ascii="Times New Roman" w:hAnsi="Times New Roman" w:eastAsia="楷体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夯实政务服务工作基础</w:t>
      </w:r>
    </w:p>
    <w:p>
      <w:pPr>
        <w:keepNext w:val="0"/>
        <w:keepLines w:val="0"/>
        <w:pageBreakBefore w:val="0"/>
        <w:widowControl w:val="0"/>
        <w:kinsoku/>
        <w:wordWrap/>
        <w:overflowPunct/>
        <w:topLinePunct/>
        <w:autoSpaceDE/>
        <w:autoSpaceDN/>
        <w:bidi w:val="0"/>
        <w:adjustRightInd/>
        <w:snapToGrid/>
        <w:spacing w:line="560" w:lineRule="exact"/>
        <w:ind w:left="0" w:right="0" w:firstLine="643" w:firstLineChars="200"/>
        <w:jc w:val="both"/>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val="en-US" w:eastAsia="zh-CN"/>
        </w:rPr>
        <w:t>14</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bCs/>
          <w:color w:val="auto"/>
          <w:spacing w:val="0"/>
          <w:sz w:val="32"/>
          <w:szCs w:val="32"/>
          <w:highlight w:val="none"/>
          <w:lang w:val="en-US" w:eastAsia="zh-CN"/>
        </w:rPr>
        <w:t xml:space="preserve"> </w:t>
      </w:r>
      <w:r>
        <w:rPr>
          <w:rFonts w:hint="default" w:ascii="Times New Roman" w:hAnsi="Times New Roman" w:eastAsia="仿宋_GB2312" w:cs="Times New Roman"/>
          <w:b/>
          <w:bCs/>
          <w:color w:val="auto"/>
          <w:spacing w:val="0"/>
          <w:sz w:val="32"/>
          <w:szCs w:val="32"/>
          <w:highlight w:val="none"/>
        </w:rPr>
        <w:t>深化政务服务标准化建设。</w:t>
      </w:r>
      <w:r>
        <w:rPr>
          <w:rFonts w:hint="default" w:ascii="Times New Roman" w:hAnsi="Times New Roman" w:eastAsia="仿宋_GB2312" w:cs="Times New Roman"/>
          <w:color w:val="auto"/>
          <w:spacing w:val="0"/>
          <w:sz w:val="32"/>
          <w:szCs w:val="32"/>
          <w:highlight w:val="none"/>
        </w:rPr>
        <w:t>推进政务服务标准体系建设，规范政务服务中心</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分中心</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、便民服务中心</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站</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US" w:eastAsia="zh-CN"/>
        </w:rPr>
        <w:t>舒心驿站</w:t>
      </w:r>
      <w:r>
        <w:rPr>
          <w:rFonts w:hint="default" w:ascii="Times New Roman" w:hAnsi="Times New Roman" w:eastAsia="仿宋_GB2312" w:cs="Times New Roman"/>
          <w:color w:val="auto"/>
          <w:spacing w:val="0"/>
          <w:sz w:val="32"/>
          <w:szCs w:val="32"/>
          <w:highlight w:val="none"/>
        </w:rPr>
        <w:t>”等服务场所设置，强化数字赋能和数据应用，加快推进智慧大厅建设。依托省政务服务事项管理系统</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将政务服务事项全部纳入清单管理，建立由基本目录、实施</w:t>
      </w:r>
      <w:r>
        <w:rPr>
          <w:rFonts w:hint="default" w:ascii="Times New Roman" w:hAnsi="Times New Roman" w:eastAsia="仿宋_GB2312" w:cs="Times New Roman"/>
          <w:color w:val="auto"/>
          <w:spacing w:val="0"/>
          <w:sz w:val="32"/>
          <w:szCs w:val="32"/>
          <w:highlight w:val="none"/>
          <w:lang w:val="en-US" w:eastAsia="zh-CN"/>
        </w:rPr>
        <w:t>规范</w:t>
      </w:r>
      <w:r>
        <w:rPr>
          <w:rFonts w:hint="default" w:ascii="Times New Roman" w:hAnsi="Times New Roman" w:eastAsia="仿宋_GB2312" w:cs="Times New Roman"/>
          <w:color w:val="auto"/>
          <w:spacing w:val="0"/>
          <w:sz w:val="32"/>
          <w:szCs w:val="32"/>
          <w:highlight w:val="none"/>
        </w:rPr>
        <w:t>、办事指南构成的政务服务事项管理体系。统一管理政务服务事项基本目录和实施</w:t>
      </w:r>
      <w:r>
        <w:rPr>
          <w:rFonts w:hint="default" w:ascii="Times New Roman" w:hAnsi="Times New Roman" w:eastAsia="仿宋_GB2312" w:cs="Times New Roman"/>
          <w:color w:val="auto"/>
          <w:spacing w:val="0"/>
          <w:sz w:val="32"/>
          <w:szCs w:val="32"/>
          <w:highlight w:val="none"/>
          <w:lang w:val="en-US" w:eastAsia="zh-CN"/>
        </w:rPr>
        <w:t>规范</w:t>
      </w:r>
      <w:r>
        <w:rPr>
          <w:rFonts w:hint="default" w:ascii="Times New Roman" w:hAnsi="Times New Roman" w:eastAsia="仿宋_GB2312" w:cs="Times New Roman"/>
          <w:color w:val="auto"/>
          <w:spacing w:val="0"/>
          <w:sz w:val="32"/>
          <w:szCs w:val="32"/>
          <w:highlight w:val="none"/>
        </w:rPr>
        <w:t>，实现数据同源、动态更新、联动管理。严格落实政务服务事项名称、编码、依据、类型等基本要素“四级四同”，推动同一政务服务事项受理条件、办理流程、申请材料、办理结果等要素标准统一。围绕个人事项全领域和企业经营全周期服务，持续推进政务服务事项、数据和流程等标准化。</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牵头部门：市行政审批局；责任部门：市各有关部门、</w:t>
      </w:r>
      <w:r>
        <w:rPr>
          <w:rFonts w:hint="default" w:ascii="Times New Roman" w:hAnsi="Times New Roman" w:eastAsia="楷体_GB2312" w:cs="Times New Roman"/>
          <w:color w:val="auto"/>
          <w:spacing w:val="0"/>
          <w:sz w:val="32"/>
          <w:szCs w:val="32"/>
          <w:highlight w:val="none"/>
          <w:lang w:val="en-US" w:eastAsia="zh-CN"/>
        </w:rPr>
        <w:t>各区镇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b/>
          <w:bCs/>
          <w:color w:val="auto"/>
          <w:spacing w:val="0"/>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rPr>
        <w:t>1</w:t>
      </w:r>
      <w:r>
        <w:rPr>
          <w:rFonts w:hint="default" w:ascii="Times New Roman" w:hAnsi="Times New Roman" w:eastAsia="仿宋_GB2312" w:cs="Times New Roman"/>
          <w:b/>
          <w:bCs/>
          <w:color w:val="auto"/>
          <w:spacing w:val="0"/>
          <w:sz w:val="32"/>
          <w:szCs w:val="32"/>
          <w:highlight w:val="none"/>
          <w:lang w:val="en-US" w:eastAsia="zh-CN"/>
        </w:rPr>
        <w:t>5</w:t>
      </w:r>
      <w:r>
        <w:rPr>
          <w:rFonts w:hint="default" w:ascii="Times New Roman" w:hAnsi="Times New Roman" w:eastAsia="仿宋_GB2312" w:cs="Times New Roman"/>
          <w:b/>
          <w:bCs/>
          <w:color w:val="auto"/>
          <w:spacing w:val="0"/>
          <w:sz w:val="32"/>
          <w:szCs w:val="32"/>
          <w:highlight w:val="none"/>
        </w:rPr>
        <w:t>.</w:t>
      </w:r>
      <w:r>
        <w:rPr>
          <w:rFonts w:hint="default" w:ascii="Times New Roman" w:hAnsi="Times New Roman" w:eastAsia="仿宋_GB2312" w:cs="Times New Roman"/>
          <w:b/>
          <w:bCs/>
          <w:color w:val="auto"/>
          <w:spacing w:val="0"/>
          <w:sz w:val="32"/>
          <w:szCs w:val="32"/>
          <w:highlight w:val="none"/>
          <w:lang w:val="en-US" w:eastAsia="zh-CN"/>
        </w:rPr>
        <w:t xml:space="preserve"> 强化政务服务制度供给。</w:t>
      </w:r>
      <w:r>
        <w:rPr>
          <w:rFonts w:hint="default" w:ascii="Times New Roman" w:hAnsi="Times New Roman" w:eastAsia="仿宋_GB2312" w:cs="Times New Roman"/>
          <w:color w:val="auto"/>
          <w:spacing w:val="0"/>
          <w:sz w:val="32"/>
          <w:szCs w:val="32"/>
          <w:highlight w:val="none"/>
        </w:rPr>
        <w:t>聚焦“</w:t>
      </w:r>
      <w:r>
        <w:rPr>
          <w:rFonts w:hint="default" w:ascii="Times New Roman" w:hAnsi="Times New Roman" w:eastAsia="仿宋_GB2312" w:cs="Times New Roman"/>
          <w:color w:val="auto"/>
          <w:spacing w:val="0"/>
          <w:sz w:val="32"/>
          <w:szCs w:val="32"/>
          <w:highlight w:val="none"/>
          <w:lang w:val="en-US" w:eastAsia="zh-CN"/>
        </w:rPr>
        <w:t>一件事</w:t>
      </w:r>
      <w:r>
        <w:rPr>
          <w:rFonts w:hint="default" w:ascii="Times New Roman" w:hAnsi="Times New Roman" w:eastAsia="仿宋_GB2312" w:cs="Times New Roman"/>
          <w:color w:val="auto"/>
          <w:spacing w:val="0"/>
          <w:sz w:val="32"/>
          <w:szCs w:val="32"/>
          <w:highlight w:val="none"/>
        </w:rPr>
        <w:t>”改革创新面临的政策制度障碍，及时清理和修改完善与推进“</w:t>
      </w:r>
      <w:r>
        <w:rPr>
          <w:rFonts w:hint="default" w:ascii="Times New Roman" w:hAnsi="Times New Roman" w:eastAsia="仿宋_GB2312" w:cs="Times New Roman"/>
          <w:color w:val="auto"/>
          <w:spacing w:val="0"/>
          <w:sz w:val="32"/>
          <w:szCs w:val="32"/>
          <w:highlight w:val="none"/>
          <w:lang w:val="en-US" w:eastAsia="zh-CN"/>
        </w:rPr>
        <w:t>一件事</w:t>
      </w:r>
      <w:r>
        <w:rPr>
          <w:rFonts w:hint="default" w:ascii="Times New Roman" w:hAnsi="Times New Roman" w:eastAsia="仿宋_GB2312" w:cs="Times New Roman"/>
          <w:color w:val="auto"/>
          <w:spacing w:val="0"/>
          <w:sz w:val="32"/>
          <w:szCs w:val="32"/>
          <w:highlight w:val="none"/>
        </w:rPr>
        <w:t>”改革工作不相适应的行政规范性文件。发挥法治引领和保障作用，</w:t>
      </w:r>
      <w:r>
        <w:rPr>
          <w:rFonts w:hint="default" w:ascii="Times New Roman" w:hAnsi="Times New Roman" w:eastAsia="仿宋_GB2312" w:cs="Times New Roman"/>
          <w:b w:val="0"/>
          <w:bCs w:val="0"/>
          <w:color w:val="auto"/>
          <w:spacing w:val="0"/>
          <w:sz w:val="32"/>
          <w:szCs w:val="32"/>
          <w:highlight w:val="none"/>
          <w:lang w:val="en-US" w:eastAsia="zh-CN"/>
        </w:rPr>
        <w:t>强化相关业务领域制度保障，破解集成办、承诺办、跨域办、免审办等创新服务模式的制度障碍。对行之有效可长期坚持的政务服务创新做法，以政策规范等形式予以固化。</w:t>
      </w:r>
      <w:r>
        <w:rPr>
          <w:rFonts w:hint="default" w:ascii="Times New Roman" w:hAnsi="Times New Roman" w:eastAsia="仿宋_GB2312" w:cs="Times New Roman"/>
          <w:color w:val="auto"/>
          <w:spacing w:val="0"/>
          <w:sz w:val="32"/>
          <w:szCs w:val="32"/>
          <w:highlight w:val="none"/>
        </w:rPr>
        <w:t>机构编制和司法行政部门要</w:t>
      </w:r>
      <w:r>
        <w:rPr>
          <w:rFonts w:hint="eastAsia" w:ascii="Times New Roman" w:hAnsi="Times New Roman" w:eastAsia="仿宋_GB2312" w:cs="Times New Roman"/>
          <w:color w:val="auto"/>
          <w:spacing w:val="0"/>
          <w:sz w:val="32"/>
          <w:szCs w:val="32"/>
          <w:highlight w:val="none"/>
          <w:lang w:val="en-US" w:eastAsia="zh-CN"/>
        </w:rPr>
        <w:t>协助</w:t>
      </w:r>
      <w:r>
        <w:rPr>
          <w:rFonts w:hint="default" w:ascii="Times New Roman" w:hAnsi="Times New Roman" w:eastAsia="仿宋_GB2312" w:cs="Times New Roman"/>
          <w:color w:val="auto"/>
          <w:spacing w:val="0"/>
          <w:sz w:val="32"/>
          <w:szCs w:val="32"/>
          <w:highlight w:val="none"/>
        </w:rPr>
        <w:t>推进审批、监管、执法等</w:t>
      </w:r>
      <w:r>
        <w:rPr>
          <w:rFonts w:hint="eastAsia" w:ascii="Times New Roman" w:hAnsi="Times New Roman" w:eastAsia="仿宋_GB2312" w:cs="Times New Roman"/>
          <w:color w:val="auto"/>
          <w:spacing w:val="0"/>
          <w:sz w:val="32"/>
          <w:szCs w:val="32"/>
          <w:highlight w:val="none"/>
          <w:lang w:val="en-US" w:eastAsia="zh-CN"/>
        </w:rPr>
        <w:t>相关工作事项的分工协作</w:t>
      </w:r>
      <w:r>
        <w:rPr>
          <w:rFonts w:hint="default" w:ascii="Times New Roman" w:hAnsi="Times New Roman" w:eastAsia="仿宋_GB2312" w:cs="Times New Roman"/>
          <w:color w:val="auto"/>
          <w:spacing w:val="0"/>
          <w:sz w:val="32"/>
          <w:szCs w:val="32"/>
          <w:highlight w:val="none"/>
        </w:rPr>
        <w:t>；司法行政部门要探索开展电子执法案卷评查，监督指导行政执法部门规范执法程序；档案部门要形成以电子案卷归档为核心的政务服务单套制电子档案标准和管理规范。</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lang w:val="en-US" w:eastAsia="zh-CN"/>
        </w:rPr>
        <w:t>牵头部门：市司法局；责任</w:t>
      </w:r>
      <w:r>
        <w:rPr>
          <w:rFonts w:hint="default" w:ascii="Times New Roman" w:hAnsi="Times New Roman" w:eastAsia="楷体_GB2312" w:cs="Times New Roman"/>
          <w:color w:val="auto"/>
          <w:spacing w:val="0"/>
          <w:sz w:val="32"/>
          <w:szCs w:val="32"/>
          <w:highlight w:val="none"/>
        </w:rPr>
        <w:t>部门：</w:t>
      </w:r>
      <w:r>
        <w:rPr>
          <w:rFonts w:hint="default" w:ascii="Times New Roman" w:hAnsi="Times New Roman" w:eastAsia="楷体_GB2312" w:cs="Times New Roman"/>
          <w:color w:val="auto"/>
          <w:spacing w:val="0"/>
          <w:sz w:val="32"/>
          <w:szCs w:val="32"/>
          <w:highlight w:val="none"/>
          <w:lang w:val="en-US" w:eastAsia="zh-CN"/>
        </w:rPr>
        <w:t>市委编办、</w:t>
      </w:r>
      <w:r>
        <w:rPr>
          <w:rFonts w:hint="default" w:ascii="Times New Roman" w:hAnsi="Times New Roman" w:eastAsia="楷体_GB2312" w:cs="Times New Roman"/>
          <w:color w:val="auto"/>
          <w:spacing w:val="0"/>
          <w:sz w:val="32"/>
          <w:szCs w:val="32"/>
          <w:highlight w:val="none"/>
        </w:rPr>
        <w:t>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b/>
          <w:bCs/>
          <w:color w:val="auto"/>
          <w:spacing w:val="0"/>
          <w:sz w:val="32"/>
          <w:szCs w:val="32"/>
          <w:highlight w:val="none"/>
          <w:lang w:val="en-US" w:eastAsia="zh-CN"/>
        </w:rPr>
        <w:t>16. 健全政务服务工作体系</w:t>
      </w:r>
      <w:r>
        <w:rPr>
          <w:rFonts w:hint="default" w:ascii="Times New Roman" w:hAnsi="Times New Roman" w:eastAsia="仿宋_GB2312" w:cs="Times New Roman"/>
          <w:color w:val="auto"/>
          <w:spacing w:val="0"/>
          <w:sz w:val="32"/>
          <w:szCs w:val="32"/>
          <w:highlight w:val="none"/>
        </w:rPr>
        <w:t>。持续从事项管理、服务管理、数据管理、安全管理全维度建立标准规范。健全一体化运营管理工作机制，推动政务服务体系一体化运营。制定平台运营、业务运营、数据运营标准规范，建立月度会议、月度报表机制，强化运营统筹规划、协调推进能力，保障平台规范、高效运行。</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楷体_GB2312" w:cs="Times New Roman"/>
          <w:color w:val="auto"/>
          <w:spacing w:val="0"/>
          <w:sz w:val="32"/>
          <w:szCs w:val="32"/>
          <w:highlight w:val="none"/>
        </w:rPr>
        <w:t>牵头部门：市行政审批局；配合部门：市各有关部门、各</w:t>
      </w:r>
      <w:r>
        <w:rPr>
          <w:rFonts w:hint="default" w:ascii="Times New Roman" w:hAnsi="Times New Roman" w:eastAsia="楷体_GB2312" w:cs="Times New Roman"/>
          <w:color w:val="auto"/>
          <w:spacing w:val="0"/>
          <w:sz w:val="32"/>
          <w:szCs w:val="32"/>
          <w:highlight w:val="none"/>
          <w:lang w:val="en-US" w:eastAsia="zh-CN"/>
        </w:rPr>
        <w:t>区镇</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0" w:firstLineChars="200"/>
        <w:jc w:val="both"/>
        <w:textAlignment w:val="baseline"/>
        <w:outlineLvl w:val="0"/>
        <w:rPr>
          <w:rFonts w:hint="default" w:ascii="Times New Roman" w:hAnsi="Times New Roman" w:eastAsia="仿宋" w:cs="Times New Roman"/>
          <w:color w:val="auto"/>
          <w:spacing w:val="0"/>
          <w:sz w:val="32"/>
          <w:szCs w:val="32"/>
          <w:highlight w:val="none"/>
        </w:rPr>
      </w:pPr>
      <w:r>
        <w:rPr>
          <w:rFonts w:hint="default" w:ascii="Times New Roman" w:hAnsi="Times New Roman" w:eastAsia="黑体" w:cs="Times New Roman"/>
          <w:b w:val="0"/>
          <w:bCs w:val="0"/>
          <w:color w:val="auto"/>
          <w:spacing w:val="0"/>
          <w:sz w:val="32"/>
          <w:szCs w:val="32"/>
          <w:highlight w:val="none"/>
        </w:rPr>
        <w:t>三、保障措施</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lang w:val="en-US" w:eastAsia="zh-CN"/>
        </w:rPr>
        <w:t>17. 强化组织实施。</w:t>
      </w:r>
      <w:r>
        <w:rPr>
          <w:rFonts w:hint="default" w:ascii="Times New Roman" w:hAnsi="Times New Roman" w:eastAsia="仿宋_GB2312" w:cs="Times New Roman"/>
          <w:color w:val="auto"/>
          <w:spacing w:val="0"/>
          <w:sz w:val="32"/>
          <w:szCs w:val="32"/>
          <w:highlight w:val="none"/>
          <w:lang w:val="en-US" w:eastAsia="zh-CN"/>
        </w:rPr>
        <w:t>各区镇</w:t>
      </w:r>
      <w:r>
        <w:rPr>
          <w:rFonts w:hint="default" w:ascii="Times New Roman" w:hAnsi="Times New Roman" w:eastAsia="仿宋_GB2312" w:cs="Times New Roman"/>
          <w:color w:val="auto"/>
          <w:spacing w:val="0"/>
          <w:sz w:val="32"/>
          <w:szCs w:val="32"/>
          <w:highlight w:val="none"/>
        </w:rPr>
        <w:t>各部门</w:t>
      </w:r>
      <w:r>
        <w:rPr>
          <w:rFonts w:hint="default" w:ascii="Times New Roman" w:hAnsi="Times New Roman" w:eastAsia="仿宋_GB2312" w:cs="Times New Roman"/>
          <w:color w:val="auto"/>
          <w:spacing w:val="0"/>
          <w:sz w:val="32"/>
          <w:szCs w:val="32"/>
          <w:highlight w:val="none"/>
          <w:lang w:eastAsia="zh-CN"/>
        </w:rPr>
        <w:t>要</w:t>
      </w:r>
      <w:r>
        <w:rPr>
          <w:rFonts w:hint="default" w:ascii="Times New Roman" w:hAnsi="Times New Roman" w:eastAsia="仿宋_GB2312" w:cs="Times New Roman"/>
          <w:color w:val="auto"/>
          <w:spacing w:val="0"/>
          <w:sz w:val="32"/>
          <w:szCs w:val="32"/>
          <w:highlight w:val="none"/>
        </w:rPr>
        <w:t>切实加强组织领导，优化全市政务服务“</w:t>
      </w:r>
      <w:r>
        <w:rPr>
          <w:rFonts w:hint="default" w:ascii="Times New Roman" w:hAnsi="Times New Roman" w:eastAsia="仿宋_GB2312" w:cs="Times New Roman"/>
          <w:color w:val="auto"/>
          <w:spacing w:val="0"/>
          <w:sz w:val="32"/>
          <w:szCs w:val="32"/>
          <w:highlight w:val="none"/>
          <w:lang w:val="en-US" w:eastAsia="zh-CN"/>
        </w:rPr>
        <w:t>一件事</w:t>
      </w:r>
      <w:r>
        <w:rPr>
          <w:rFonts w:hint="default" w:ascii="Times New Roman" w:hAnsi="Times New Roman" w:eastAsia="仿宋_GB2312" w:cs="Times New Roman"/>
          <w:color w:val="auto"/>
          <w:spacing w:val="0"/>
          <w:sz w:val="32"/>
          <w:szCs w:val="32"/>
          <w:highlight w:val="none"/>
        </w:rPr>
        <w:t>”工作协同推进机制，强化经费、人员、场地、信息化保障。各有关部门要积极推进主管行业领域政务服务“一件事一次办”改革工作，定期汇总推进成效、办件量等改革情况，并提供必要的政策、业务、系统、数据等支持。</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lang w:val="en-US"/>
        </w:rPr>
      </w:pPr>
      <w:r>
        <w:rPr>
          <w:rFonts w:hint="default" w:ascii="Times New Roman" w:hAnsi="Times New Roman" w:eastAsia="仿宋_GB2312" w:cs="Times New Roman"/>
          <w:b/>
          <w:bCs/>
          <w:color w:val="auto"/>
          <w:spacing w:val="0"/>
          <w:sz w:val="32"/>
          <w:szCs w:val="32"/>
          <w:highlight w:val="none"/>
          <w:lang w:val="en-US" w:eastAsia="zh-CN"/>
        </w:rPr>
        <w:t>18. 落实主体责任</w:t>
      </w: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US" w:eastAsia="zh-CN"/>
        </w:rPr>
        <w:t>对列入国务院“高效办成一件事”清单、省定标准“一件事”清单和我市“一件事”清单的重点事项，牵头部门与责任部门要加强协同配合，研究制定工作方案，明确目标任务、改革措施和职责分工，推进落实“高效办成一件事”工作。市行政审批局负责做好技术支持，原则上我市各项“一件事”均通过“一网通办”平台实施。</w:t>
      </w:r>
    </w:p>
    <w:p>
      <w:pPr>
        <w:keepNext w:val="0"/>
        <w:keepLines w:val="0"/>
        <w:pageBreakBefore w:val="0"/>
        <w:widowControl w:val="0"/>
        <w:kinsoku/>
        <w:wordWrap/>
        <w:overflowPunct/>
        <w:topLinePunct/>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lang w:val="en-US" w:eastAsia="zh-CN"/>
        </w:rPr>
        <w:t>19. 加大宣传推广</w:t>
      </w: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rPr>
        <w:t>加强对“</w:t>
      </w:r>
      <w:r>
        <w:rPr>
          <w:rFonts w:hint="default" w:ascii="Times New Roman" w:hAnsi="Times New Roman" w:eastAsia="仿宋_GB2312" w:cs="Times New Roman"/>
          <w:color w:val="auto"/>
          <w:spacing w:val="0"/>
          <w:sz w:val="32"/>
          <w:szCs w:val="32"/>
          <w:highlight w:val="none"/>
          <w:lang w:val="en-US" w:eastAsia="zh-CN"/>
        </w:rPr>
        <w:t>高效办成一件事</w:t>
      </w:r>
      <w:r>
        <w:rPr>
          <w:rFonts w:hint="default" w:ascii="Times New Roman" w:hAnsi="Times New Roman" w:eastAsia="仿宋_GB2312" w:cs="Times New Roman"/>
          <w:color w:val="auto"/>
          <w:spacing w:val="0"/>
          <w:sz w:val="32"/>
          <w:szCs w:val="32"/>
          <w:highlight w:val="none"/>
        </w:rPr>
        <w:t>”重点改革任务</w:t>
      </w:r>
      <w:r>
        <w:rPr>
          <w:rFonts w:hint="default" w:ascii="Times New Roman" w:hAnsi="Times New Roman" w:eastAsia="仿宋_GB2312" w:cs="Times New Roman"/>
          <w:color w:val="auto"/>
          <w:spacing w:val="0"/>
          <w:sz w:val="32"/>
          <w:szCs w:val="32"/>
          <w:highlight w:val="none"/>
          <w:lang w:val="en-US" w:eastAsia="zh-CN"/>
        </w:rPr>
        <w:t>的</w:t>
      </w:r>
      <w:r>
        <w:rPr>
          <w:rFonts w:hint="default" w:ascii="Times New Roman" w:hAnsi="Times New Roman" w:eastAsia="仿宋_GB2312" w:cs="Times New Roman"/>
          <w:color w:val="auto"/>
          <w:spacing w:val="0"/>
          <w:sz w:val="32"/>
          <w:szCs w:val="32"/>
          <w:highlight w:val="none"/>
        </w:rPr>
        <w:t>宣传，</w:t>
      </w:r>
      <w:r>
        <w:rPr>
          <w:rFonts w:hint="default" w:ascii="Times New Roman" w:hAnsi="Times New Roman" w:eastAsia="仿宋_GB2312" w:cs="Times New Roman"/>
          <w:color w:val="auto"/>
          <w:spacing w:val="0"/>
          <w:sz w:val="32"/>
          <w:szCs w:val="32"/>
          <w:highlight w:val="none"/>
          <w:lang w:val="en-US" w:eastAsia="zh-CN"/>
        </w:rPr>
        <w:t>政策解读，使用引导。及时总结行之有效的经验做法，</w:t>
      </w:r>
      <w:r>
        <w:rPr>
          <w:rFonts w:hint="default" w:ascii="Times New Roman" w:hAnsi="Times New Roman" w:eastAsia="仿宋_GB2312" w:cs="Times New Roman"/>
          <w:color w:val="auto"/>
          <w:spacing w:val="0"/>
          <w:sz w:val="32"/>
          <w:szCs w:val="32"/>
          <w:highlight w:val="none"/>
        </w:rPr>
        <w:t>推广高频场景应用，提升企业群众知晓度和参与度。</w:t>
      </w:r>
    </w:p>
    <w:p>
      <w:pPr>
        <w:pStyle w:val="4"/>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z w:val="32"/>
          <w:szCs w:val="32"/>
          <w:lang w:val="en-US" w:eastAsia="zh-CN"/>
        </w:rPr>
        <w:t>附件：太仓市“高效办成一件事”2024年度重点事项清单</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bookmarkStart w:id="0" w:name="_GoBack"/>
      <w:bookmarkEnd w:id="0"/>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Style w:val="8"/>
          <w:rFonts w:hint="default" w:ascii="Times New Roman" w:hAnsi="Times New Roman" w:eastAsia="黑体" w:cs="Times New Roman"/>
          <w:b w:val="0"/>
          <w:bCs/>
          <w:color w:val="auto"/>
          <w:sz w:val="32"/>
          <w:szCs w:val="32"/>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rPr>
          <w:rFonts w:hint="default" w:ascii="Times New Roman" w:hAnsi="Times New Roman" w:cs="Times New Roman"/>
          <w:color w:val="auto"/>
        </w:rPr>
      </w:pPr>
      <w:r>
        <w:rPr>
          <w:rStyle w:val="8"/>
          <w:rFonts w:hint="default" w:ascii="Times New Roman" w:hAnsi="Times New Roman" w:eastAsia="黑体" w:cs="Times New Roman"/>
          <w:b w:val="0"/>
          <w:bCs/>
          <w:color w:val="auto"/>
          <w:sz w:val="32"/>
          <w:szCs w:val="32"/>
        </w:rPr>
        <w:t>附件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rPr>
          <w:rStyle w:val="8"/>
          <w:rFonts w:hint="default" w:ascii="Times New Roman" w:hAnsi="Times New Roman" w:cs="Times New Roman"/>
          <w:color w:val="auto"/>
          <w:sz w:val="36"/>
          <w:szCs w:val="36"/>
        </w:rPr>
      </w:pPr>
      <w:r>
        <w:rPr>
          <w:rStyle w:val="8"/>
          <w:rFonts w:hint="default" w:ascii="Times New Roman" w:hAnsi="Times New Roman" w:eastAsia="方正小标宋简体" w:cs="Times New Roman"/>
          <w:b w:val="0"/>
          <w:bCs/>
          <w:color w:val="auto"/>
          <w:spacing w:val="-11"/>
          <w:sz w:val="44"/>
          <w:szCs w:val="44"/>
          <w:lang w:val="en-US" w:eastAsia="zh-CN"/>
        </w:rPr>
        <w:t>太仓市</w:t>
      </w:r>
      <w:r>
        <w:rPr>
          <w:rStyle w:val="8"/>
          <w:rFonts w:hint="default" w:ascii="Times New Roman" w:hAnsi="Times New Roman" w:eastAsia="方正小标宋简体" w:cs="Times New Roman"/>
          <w:b w:val="0"/>
          <w:bCs/>
          <w:color w:val="auto"/>
          <w:spacing w:val="-11"/>
          <w:sz w:val="44"/>
          <w:szCs w:val="44"/>
        </w:rPr>
        <w:t>“高效办成一件事”2024年度重点事项清单</w:t>
      </w:r>
    </w:p>
    <w:tbl>
      <w:tblPr>
        <w:tblStyle w:val="6"/>
        <w:tblW w:w="10364" w:type="dxa"/>
        <w:tblInd w:w="-4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5237"/>
        <w:gridCol w:w="4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黑体" w:cs="Times New Roman"/>
                <w:b w:val="0"/>
                <w:bCs/>
                <w:color w:val="auto"/>
                <w:sz w:val="24"/>
                <w:szCs w:val="24"/>
                <w:vertAlign w:val="baseline"/>
                <w:lang w:val="en-US" w:eastAsia="zh-CN"/>
              </w:rPr>
            </w:pPr>
            <w:r>
              <w:rPr>
                <w:rStyle w:val="8"/>
                <w:rFonts w:hint="default" w:ascii="Times New Roman" w:hAnsi="Times New Roman" w:eastAsia="黑体" w:cs="Times New Roman"/>
                <w:b w:val="0"/>
                <w:bCs/>
                <w:color w:val="auto"/>
                <w:sz w:val="24"/>
                <w:szCs w:val="24"/>
                <w:vertAlign w:val="baseline"/>
                <w:lang w:val="en-US" w:eastAsia="zh-CN"/>
              </w:rPr>
              <w:t>序号</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黑体" w:cs="Times New Roman"/>
                <w:b w:val="0"/>
                <w:bCs/>
                <w:color w:val="auto"/>
                <w:sz w:val="24"/>
                <w:szCs w:val="24"/>
                <w:vertAlign w:val="baseline"/>
                <w:lang w:val="en-US" w:eastAsia="zh-CN"/>
              </w:rPr>
            </w:pPr>
            <w:r>
              <w:rPr>
                <w:rStyle w:val="8"/>
                <w:rFonts w:hint="default" w:ascii="Times New Roman" w:hAnsi="Times New Roman" w:eastAsia="黑体" w:cs="Times New Roman"/>
                <w:b w:val="0"/>
                <w:bCs/>
                <w:color w:val="auto"/>
                <w:sz w:val="24"/>
                <w:szCs w:val="24"/>
                <w:vertAlign w:val="baseline"/>
                <w:lang w:eastAsia="zh-CN"/>
              </w:rPr>
              <w:t>“</w:t>
            </w:r>
            <w:r>
              <w:rPr>
                <w:rStyle w:val="8"/>
                <w:rFonts w:hint="default" w:ascii="Times New Roman" w:hAnsi="Times New Roman" w:eastAsia="黑体" w:cs="Times New Roman"/>
                <w:b w:val="0"/>
                <w:bCs/>
                <w:color w:val="auto"/>
                <w:sz w:val="24"/>
                <w:szCs w:val="24"/>
                <w:vertAlign w:val="baseline"/>
                <w:lang w:val="en-US" w:eastAsia="zh-CN"/>
              </w:rPr>
              <w:t>一件事</w:t>
            </w:r>
            <w:r>
              <w:rPr>
                <w:rStyle w:val="8"/>
                <w:rFonts w:hint="default" w:ascii="Times New Roman" w:hAnsi="Times New Roman" w:eastAsia="黑体" w:cs="Times New Roman"/>
                <w:b w:val="0"/>
                <w:bCs/>
                <w:color w:val="auto"/>
                <w:sz w:val="24"/>
                <w:szCs w:val="24"/>
                <w:vertAlign w:val="baseline"/>
                <w:lang w:eastAsia="zh-CN"/>
              </w:rPr>
              <w:t>”</w:t>
            </w:r>
            <w:r>
              <w:rPr>
                <w:rStyle w:val="8"/>
                <w:rFonts w:hint="default" w:ascii="Times New Roman" w:hAnsi="Times New Roman" w:eastAsia="黑体" w:cs="Times New Roman"/>
                <w:b w:val="0"/>
                <w:bCs/>
                <w:color w:val="auto"/>
                <w:sz w:val="24"/>
                <w:szCs w:val="24"/>
                <w:vertAlign w:val="baseline"/>
                <w:lang w:val="en-US" w:eastAsia="zh-CN"/>
              </w:rPr>
              <w:t>名称</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黑体" w:cs="Times New Roman"/>
                <w:b w:val="0"/>
                <w:bCs/>
                <w:color w:val="auto"/>
                <w:sz w:val="24"/>
                <w:szCs w:val="24"/>
                <w:vertAlign w:val="baseline"/>
                <w:lang w:val="en-US" w:eastAsia="zh-CN"/>
              </w:rPr>
            </w:pPr>
            <w:r>
              <w:rPr>
                <w:rStyle w:val="8"/>
                <w:rFonts w:hint="default" w:ascii="Times New Roman" w:hAnsi="Times New Roman" w:eastAsia="黑体" w:cs="Times New Roman"/>
                <w:b w:val="0"/>
                <w:bCs/>
                <w:color w:val="auto"/>
                <w:sz w:val="24"/>
                <w:szCs w:val="24"/>
                <w:vertAlign w:val="baseline"/>
                <w:lang w:val="en-US" w:eastAsia="zh-CN"/>
              </w:rPr>
              <w:t>牵头部门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黑体" w:cs="Times New Roman"/>
                <w:b w:val="0"/>
                <w:bCs/>
                <w:color w:val="auto"/>
                <w:sz w:val="24"/>
                <w:szCs w:val="24"/>
                <w:vertAlign w:val="baseline"/>
                <w:lang w:val="en-US" w:eastAsia="zh-CN"/>
              </w:rPr>
            </w:pPr>
            <w:r>
              <w:rPr>
                <w:rStyle w:val="8"/>
                <w:rFonts w:hint="default" w:ascii="Times New Roman" w:hAnsi="Times New Roman" w:eastAsia="黑体" w:cs="Times New Roman"/>
                <w:b w:val="0"/>
                <w:bCs/>
                <w:color w:val="auto"/>
                <w:sz w:val="24"/>
                <w:szCs w:val="24"/>
                <w:vertAlign w:val="baseline"/>
                <w:lang w:val="en-US" w:eastAsia="zh-CN"/>
              </w:rPr>
              <w:t>（</w:t>
            </w:r>
            <w:r>
              <w:rPr>
                <w:rStyle w:val="10"/>
                <w:rFonts w:hint="default" w:ascii="Times New Roman" w:hAnsi="Times New Roman" w:cs="Times New Roman"/>
                <w:b w:val="0"/>
                <w:bCs/>
                <w:color w:val="auto"/>
                <w:lang w:val="en-US" w:eastAsia="zh-CN" w:bidi="ar"/>
              </w:rPr>
              <w:t>★为国定标准</w:t>
            </w:r>
            <w:r>
              <w:rPr>
                <w:rStyle w:val="10"/>
                <w:rFonts w:hint="default" w:ascii="Times New Roman" w:hAnsi="Times New Roman" w:eastAsia="宋体" w:cs="Times New Roman"/>
                <w:b w:val="0"/>
                <w:bCs/>
                <w:color w:val="auto"/>
                <w:lang w:val="en-US" w:eastAsia="zh-CN" w:bidi="ar"/>
              </w:rPr>
              <w:t>“一件事”</w:t>
            </w:r>
            <w:r>
              <w:rPr>
                <w:rStyle w:val="10"/>
                <w:rFonts w:hint="default" w:ascii="Times New Roman" w:hAnsi="Times New Roman" w:cs="Times New Roman"/>
                <w:b w:val="0"/>
                <w:bCs/>
                <w:color w:val="auto"/>
                <w:lang w:val="en-US" w:eastAsia="zh-CN" w:bidi="ar"/>
              </w:rPr>
              <w:t>，</w:t>
            </w:r>
            <w:r>
              <w:rPr>
                <w:rStyle w:val="10"/>
                <w:rFonts w:hint="default" w:ascii="Times New Roman" w:hAnsi="Times New Roman" w:eastAsia="宋体" w:cs="Times New Roman"/>
                <w:b w:val="0"/>
                <w:bCs/>
                <w:color w:val="auto"/>
                <w:lang w:val="en-US" w:eastAsia="zh-CN" w:bidi="ar"/>
              </w:rPr>
              <w:t>△为省定标准“一件事”</w:t>
            </w:r>
            <w:r>
              <w:rPr>
                <w:rStyle w:val="8"/>
                <w:rFonts w:hint="default" w:ascii="Times New Roman" w:hAnsi="Times New Roman" w:eastAsia="黑体" w:cs="Times New Roman"/>
                <w:b w:val="0"/>
                <w:bCs/>
                <w:color w:val="auto"/>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1</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8"/>
                <w:rFonts w:hint="default" w:ascii="Times New Roman" w:hAnsi="Times New Roman" w:eastAsia="仿宋_GB2312" w:cs="Times New Roman"/>
                <w:b w:val="0"/>
                <w:bCs/>
                <w:color w:val="auto"/>
                <w:sz w:val="24"/>
                <w:szCs w:val="24"/>
                <w:vertAlign w:val="baseline"/>
                <w:lang w:eastAsia="zh-CN"/>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b w:val="0"/>
                <w:bCs/>
                <w:color w:val="auto"/>
                <w:sz w:val="24"/>
                <w:szCs w:val="24"/>
                <w:lang w:val="en-US" w:eastAsia="zh-CN" w:bidi="ar"/>
              </w:rPr>
              <w:t>企业信息变更“一件事”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eastAsia" w:ascii="Times New Roman" w:hAnsi="Times New Roman" w:eastAsia="仿宋_GB2312" w:cs="Times New Roman"/>
                <w:b w:val="0"/>
                <w:bCs/>
                <w:color w:val="auto"/>
                <w:sz w:val="24"/>
                <w:szCs w:val="24"/>
                <w:vertAlign w:val="baseline"/>
                <w:lang w:val="en-US" w:eastAsia="zh-CN"/>
              </w:rPr>
              <w:t>行政审批</w:t>
            </w:r>
            <w:r>
              <w:rPr>
                <w:rStyle w:val="8"/>
                <w:rFonts w:hint="default" w:ascii="Times New Roman" w:hAnsi="Times New Roman" w:eastAsia="仿宋_GB2312" w:cs="Times New Roman"/>
                <w:b w:val="0"/>
                <w:bCs/>
                <w:color w:val="auto"/>
                <w:sz w:val="24"/>
                <w:szCs w:val="24"/>
                <w:vertAlign w:val="baseline"/>
                <w:lang w:val="en-US" w:eastAsia="zh-CN"/>
              </w:rPr>
              <w:t>局</w:t>
            </w:r>
            <w:r>
              <w:rPr>
                <w:rStyle w:val="8"/>
                <w:rFonts w:hint="eastAsia" w:ascii="Times New Roman" w:hAnsi="Times New Roman" w:eastAsia="仿宋_GB2312" w:cs="Times New Roman"/>
                <w:b w:val="0"/>
                <w:bCs/>
                <w:color w:val="auto"/>
                <w:sz w:val="24"/>
                <w:szCs w:val="24"/>
                <w:vertAlign w:val="baseline"/>
                <w:lang w:val="en-US" w:eastAsia="zh-CN"/>
              </w:rPr>
              <w:t>、市场监管局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b w:val="0"/>
                <w:bCs/>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开办运输企业“一件事”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3</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开办餐饮店“一件事 ”</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4</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水电气网联合报装“一件事 ”</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5</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信用修复“一件事”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6</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企业上市合法合规信息核查“一件事 ”</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行政审批局、金融局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7</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企业破产信息核查“一件事 ”</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仿宋_GB2312" w:cs="Times New Roman"/>
                <w:b w:val="0"/>
                <w:bCs/>
                <w:snapToGrid w:val="0"/>
                <w:color w:val="auto"/>
                <w:kern w:val="0"/>
                <w:sz w:val="24"/>
                <w:szCs w:val="24"/>
                <w:vertAlign w:val="baseline"/>
                <w:lang w:val="en-US" w:eastAsia="zh-CN" w:bidi="ar"/>
              </w:rPr>
            </w:pPr>
            <w:r>
              <w:rPr>
                <w:rStyle w:val="8"/>
                <w:rFonts w:hint="eastAsia" w:ascii="Times New Roman" w:hAnsi="Times New Roman" w:eastAsia="仿宋_GB2312" w:cs="Times New Roman"/>
                <w:b w:val="0"/>
                <w:bCs/>
                <w:color w:val="auto"/>
                <w:sz w:val="24"/>
                <w:szCs w:val="24"/>
                <w:vertAlign w:val="baseline"/>
                <w:lang w:val="en-US" w:eastAsia="zh-CN"/>
              </w:rPr>
              <w:t>行政审批</w:t>
            </w:r>
            <w:r>
              <w:rPr>
                <w:rStyle w:val="8"/>
                <w:rFonts w:hint="default" w:ascii="Times New Roman" w:hAnsi="Times New Roman" w:eastAsia="仿宋_GB2312" w:cs="Times New Roman"/>
                <w:b w:val="0"/>
                <w:bCs/>
                <w:color w:val="auto"/>
                <w:sz w:val="24"/>
                <w:szCs w:val="24"/>
                <w:vertAlign w:val="baseline"/>
                <w:lang w:val="en-US"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8</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企业注销登记“一件事”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仿宋_GB2312" w:cs="Times New Roman"/>
                <w:b w:val="0"/>
                <w:bCs/>
                <w:snapToGrid w:val="0"/>
                <w:color w:val="auto"/>
                <w:kern w:val="0"/>
                <w:sz w:val="24"/>
                <w:szCs w:val="24"/>
                <w:vertAlign w:val="baseline"/>
                <w:lang w:val="en-US" w:eastAsia="zh-CN" w:bidi="ar"/>
              </w:rPr>
            </w:pPr>
            <w:r>
              <w:rPr>
                <w:rStyle w:val="8"/>
                <w:rFonts w:hint="default" w:ascii="Times New Roman" w:hAnsi="Times New Roman" w:eastAsia="仿宋_GB2312" w:cs="Times New Roman"/>
                <w:b w:val="0"/>
                <w:bCs/>
                <w:color w:val="auto"/>
                <w:sz w:val="24"/>
                <w:szCs w:val="24"/>
                <w:vertAlign w:val="baseline"/>
                <w:lang w:val="en-US" w:eastAsia="zh-CN"/>
              </w:rPr>
              <w:t>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9</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新生儿出生“一件事”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10</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教育入学“一件事 ”</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11</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社会保障卡居民服务“一件事”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12</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残疾人服务“一件事”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13</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1"/>
                <w:rFonts w:hint="default" w:ascii="Times New Roman" w:hAnsi="Times New Roman" w:eastAsia="仿宋_GB2312" w:cs="Times New Roman"/>
                <w:color w:val="auto"/>
                <w:sz w:val="24"/>
                <w:szCs w:val="24"/>
                <w:lang w:val="en-US" w:eastAsia="zh-CN" w:bidi="ar"/>
              </w:rPr>
            </w:pPr>
            <w:r>
              <w:rPr>
                <w:rStyle w:val="10"/>
                <w:rFonts w:hint="default" w:ascii="Times New Roman" w:hAnsi="Times New Roman" w:eastAsia="仿宋_GB2312" w:cs="Times New Roman"/>
                <w:color w:val="auto"/>
                <w:lang w:val="en-US" w:eastAsia="zh-CN" w:bidi="ar"/>
              </w:rPr>
              <w:t>★</w:t>
            </w:r>
            <w:r>
              <w:rPr>
                <w:rStyle w:val="11"/>
                <w:rFonts w:hint="default" w:ascii="Times New Roman" w:hAnsi="Times New Roman" w:eastAsia="仿宋_GB2312" w:cs="Times New Roman"/>
                <w:color w:val="auto"/>
                <w:sz w:val="24"/>
                <w:szCs w:val="24"/>
                <w:lang w:val="en-US" w:eastAsia="zh-CN" w:bidi="ar"/>
              </w:rPr>
              <w:t>退休“一件事”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14</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涉企不动产登记</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行政审批局、资规局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15</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结婚（公民婚育）</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16</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军人退役</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行政审批局、退役军人局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17</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bidi="ar"/>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二手房转移登记及水电气联动过户</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行政审批局、资规局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18</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bidi="ar"/>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重大项目建设审批</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19</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bidi="ar"/>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开便利店</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20</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bidi="ar"/>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开药店</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21</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bidi="ar"/>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开网约车</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Style w:val="8"/>
                <w:rFonts w:hint="default" w:ascii="Times New Roman" w:hAnsi="Times New Roman" w:cs="Times New Roman" w:eastAsiaTheme="minorEastAsia"/>
                <w:b w:val="0"/>
                <w:bCs/>
                <w:color w:val="auto"/>
                <w:sz w:val="24"/>
                <w:szCs w:val="24"/>
                <w:vertAlign w:val="baseline"/>
                <w:lang w:val="en-US" w:eastAsia="zh-CN"/>
              </w:rPr>
              <w:t>22</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bidi="ar"/>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就业登记（员工录用）</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23</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就业登记（灵活就业）</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24</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人才服务</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组织部、人社局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25</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尊老金申报</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26</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基本医疗保险参保人员医疗费用报销</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27</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开旅馆</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28</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开网吧</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29</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公租房申请</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30</w:t>
            </w:r>
          </w:p>
        </w:tc>
        <w:tc>
          <w:tcPr>
            <w:tcW w:w="5237" w:type="dxa"/>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snapToGrid w:val="0"/>
                <w:color w:val="auto"/>
                <w:kern w:val="0"/>
                <w:sz w:val="24"/>
                <w:szCs w:val="24"/>
                <w:u w:val="none"/>
                <w:lang w:val="en-US" w:eastAsia="zh-CN"/>
              </w:rPr>
            </w:pPr>
            <w:r>
              <w:rPr>
                <w:rStyle w:val="10"/>
                <w:rFonts w:hint="default" w:ascii="Times New Roman" w:hAnsi="Times New Roman" w:eastAsia="仿宋_GB2312" w:cs="Times New Roman"/>
                <w:color w:val="auto"/>
                <w:lang w:val="en-US" w:eastAsia="zh-CN" w:bidi="ar"/>
              </w:rPr>
              <w:t>△</w:t>
            </w:r>
            <w:r>
              <w:rPr>
                <w:rFonts w:hint="default" w:ascii="Times New Roman" w:hAnsi="Times New Roman" w:eastAsia="仿宋_GB2312" w:cs="Times New Roman"/>
                <w:i w:val="0"/>
                <w:iCs w:val="0"/>
                <w:snapToGrid w:val="0"/>
                <w:color w:val="auto"/>
                <w:kern w:val="0"/>
                <w:sz w:val="24"/>
                <w:szCs w:val="24"/>
                <w:u w:val="none"/>
                <w:lang w:val="en-US" w:eastAsia="zh-CN" w:bidi="ar"/>
              </w:rPr>
              <w:t>知识产权保护</w:t>
            </w:r>
            <w:r>
              <w:rPr>
                <w:rStyle w:val="11"/>
                <w:rFonts w:hint="default" w:ascii="Times New Roman" w:hAnsi="Times New Roman" w:eastAsia="仿宋_GB2312" w:cs="Times New Roman"/>
                <w:color w:val="auto"/>
                <w:sz w:val="24"/>
                <w:szCs w:val="24"/>
                <w:lang w:val="en-US" w:eastAsia="zh-CN" w:bidi="ar"/>
              </w:rPr>
              <w:t>“一件事”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31</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投资促产“一件事”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32</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置业“一件事”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33</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租房“一件事”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34</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不动产产权证遗失补证“一件事”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资规局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35</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不动产产权证夫妻加减名“一件事”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资规局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36</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离婚稀产“一件事”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资规局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37</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不动产继承公证“一件事”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资规局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38</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便民疏导点“一件事”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cs="Times New Roman" w:eastAsiaTheme="minorEastAsia"/>
                <w:b w:val="0"/>
                <w:bCs/>
                <w:snapToGrid w:val="0"/>
                <w:color w:val="auto"/>
                <w:kern w:val="0"/>
                <w:sz w:val="24"/>
                <w:szCs w:val="24"/>
                <w:vertAlign w:val="baseline"/>
                <w:lang w:val="en-US" w:eastAsia="zh-CN" w:bidi="ar"/>
              </w:rPr>
            </w:pPr>
            <w:r>
              <w:rPr>
                <w:rFonts w:hint="default" w:ascii="Times New Roman" w:hAnsi="Times New Roman" w:cs="Times New Roman" w:eastAsiaTheme="minorEastAsia"/>
                <w:b w:val="0"/>
                <w:bCs/>
                <w:snapToGrid w:val="0"/>
                <w:color w:val="auto"/>
                <w:kern w:val="0"/>
                <w:sz w:val="24"/>
                <w:szCs w:val="24"/>
                <w:vertAlign w:val="baseline"/>
                <w:lang w:val="en-US" w:eastAsia="zh-CN" w:bidi="ar"/>
              </w:rPr>
              <w:t>39</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购房补贴申请“一件事”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73"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rPr>
                <w:rStyle w:val="8"/>
                <w:rFonts w:hint="default" w:ascii="Times New Roman" w:hAnsi="Times New Roman" w:cs="Times New Roman" w:eastAsiaTheme="minorEastAsia"/>
                <w:b w:val="0"/>
                <w:bCs/>
                <w:color w:val="auto"/>
                <w:sz w:val="24"/>
                <w:szCs w:val="24"/>
                <w:vertAlign w:val="baseline"/>
                <w:lang w:val="en-US" w:eastAsia="zh-CN"/>
              </w:rPr>
            </w:pPr>
            <w:r>
              <w:rPr>
                <w:rStyle w:val="8"/>
                <w:rFonts w:hint="default" w:ascii="Times New Roman" w:hAnsi="Times New Roman" w:cs="Times New Roman" w:eastAsiaTheme="minorEastAsia"/>
                <w:b w:val="0"/>
                <w:bCs/>
                <w:color w:val="auto"/>
                <w:sz w:val="24"/>
                <w:szCs w:val="24"/>
                <w:vertAlign w:val="baseline"/>
                <w:lang w:val="en-US" w:eastAsia="zh-CN"/>
              </w:rPr>
              <w:t>40</w:t>
            </w:r>
          </w:p>
        </w:tc>
        <w:tc>
          <w:tcPr>
            <w:tcW w:w="5237"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left"/>
              <w:rPr>
                <w:rStyle w:val="10"/>
                <w:rFonts w:hint="default" w:ascii="Times New Roman" w:hAnsi="Times New Roman" w:eastAsia="仿宋_GB2312" w:cs="Times New Roman"/>
                <w:b w:val="0"/>
                <w:bCs w:val="0"/>
                <w:color w:val="auto"/>
                <w:sz w:val="24"/>
                <w:szCs w:val="24"/>
                <w:lang w:val="en-US" w:eastAsia="zh-CN" w:bidi="ar"/>
              </w:rPr>
            </w:pPr>
            <w:r>
              <w:rPr>
                <w:rStyle w:val="10"/>
                <w:rFonts w:hint="default" w:ascii="Times New Roman" w:hAnsi="Times New Roman" w:eastAsia="仿宋_GB2312" w:cs="Times New Roman"/>
                <w:b w:val="0"/>
                <w:bCs w:val="0"/>
                <w:color w:val="auto"/>
                <w:sz w:val="24"/>
                <w:szCs w:val="24"/>
                <w:lang w:val="en-US" w:eastAsia="zh-CN" w:bidi="ar"/>
              </w:rPr>
              <w:t>地址命名“一件事”</w:t>
            </w:r>
          </w:p>
        </w:tc>
        <w:tc>
          <w:tcPr>
            <w:tcW w:w="4254" w:type="dxa"/>
            <w:vAlign w:val="center"/>
          </w:tcPr>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Style w:val="8"/>
                <w:rFonts w:hint="default" w:ascii="Times New Roman" w:hAnsi="Times New Roman" w:eastAsia="仿宋_GB2312" w:cs="Times New Roman"/>
                <w:b w:val="0"/>
                <w:bCs/>
                <w:color w:val="auto"/>
                <w:sz w:val="24"/>
                <w:szCs w:val="24"/>
                <w:vertAlign w:val="baseline"/>
                <w:lang w:val="en-US" w:eastAsia="zh-CN"/>
              </w:rPr>
            </w:pPr>
            <w:r>
              <w:rPr>
                <w:rStyle w:val="8"/>
                <w:rFonts w:hint="default" w:ascii="Times New Roman" w:hAnsi="Times New Roman" w:eastAsia="仿宋_GB2312" w:cs="Times New Roman"/>
                <w:b w:val="0"/>
                <w:bCs/>
                <w:color w:val="auto"/>
                <w:sz w:val="24"/>
                <w:szCs w:val="24"/>
                <w:vertAlign w:val="baseline"/>
                <w:lang w:val="en-US" w:eastAsia="zh-CN"/>
              </w:rPr>
              <w:t>住建局</w:t>
            </w:r>
          </w:p>
        </w:tc>
      </w:tr>
    </w:tbl>
    <w:p>
      <w:pPr>
        <w:keepNext w:val="0"/>
        <w:keepLines w:val="0"/>
        <w:pageBreakBefore w:val="0"/>
        <w:widowControl w:val="0"/>
        <w:kinsoku/>
        <w:wordWrap/>
        <w:overflowPunct/>
        <w:topLinePunct/>
        <w:autoSpaceDE/>
        <w:autoSpaceDN/>
        <w:bidi w:val="0"/>
        <w:adjustRightInd w:val="0"/>
        <w:snapToGrid w:val="0"/>
        <w:spacing w:line="540" w:lineRule="exact"/>
        <w:ind w:right="0"/>
        <w:jc w:val="both"/>
        <w:textAlignment w:val="baseline"/>
        <w:rPr>
          <w:rFonts w:hint="default" w:ascii="Times New Roman" w:hAnsi="Times New Roman" w:eastAsia="仿宋_GB2312" w:cs="Times New Roman"/>
          <w:spacing w:val="0"/>
          <w:sz w:val="32"/>
          <w:szCs w:val="32"/>
        </w:rPr>
      </w:pPr>
    </w:p>
    <w:sectPr>
      <w:footerReference r:id="rId3" w:type="default"/>
      <w:pgSz w:w="11906" w:h="16838"/>
      <w:pgMar w:top="1814" w:right="1474" w:bottom="1984" w:left="1474"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zM2UzYjliNGU1ZTc1MTZkODk3NjEwODU5YmMwYTQifQ=="/>
  </w:docVars>
  <w:rsids>
    <w:rsidRoot w:val="073B51F1"/>
    <w:rsid w:val="00397A51"/>
    <w:rsid w:val="01A65E7A"/>
    <w:rsid w:val="05352AA8"/>
    <w:rsid w:val="073B51F1"/>
    <w:rsid w:val="12BE4ED2"/>
    <w:rsid w:val="2586404E"/>
    <w:rsid w:val="35E2031A"/>
    <w:rsid w:val="3E1A3557"/>
    <w:rsid w:val="45410E7C"/>
    <w:rsid w:val="46F02CDF"/>
    <w:rsid w:val="48306F09"/>
    <w:rsid w:val="4F814447"/>
    <w:rsid w:val="50EA4B3C"/>
    <w:rsid w:val="5AAA5304"/>
    <w:rsid w:val="5EE32A98"/>
    <w:rsid w:val="645F1C84"/>
    <w:rsid w:val="73B61176"/>
    <w:rsid w:val="74CF04AF"/>
    <w:rsid w:val="7A41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0"/>
    <w:rPr>
      <w:b/>
    </w:rPr>
  </w:style>
  <w:style w:type="paragraph" w:customStyle="1" w:styleId="9">
    <w:name w:val="首行缩进"/>
    <w:basedOn w:val="1"/>
    <w:autoRedefine/>
    <w:qFormat/>
    <w:uiPriority w:val="0"/>
    <w:pPr>
      <w:adjustRightInd w:val="0"/>
      <w:snapToGrid w:val="0"/>
      <w:spacing w:line="360" w:lineRule="auto"/>
      <w:ind w:firstLine="480" w:firstLineChars="200"/>
      <w:jc w:val="left"/>
    </w:pPr>
    <w:rPr>
      <w:rFonts w:ascii="宋体" w:hAnsi="宋体" w:eastAsia="方正仿宋_GBK" w:cs="Times New Roman"/>
      <w:sz w:val="24"/>
    </w:rPr>
  </w:style>
  <w:style w:type="character" w:customStyle="1" w:styleId="10">
    <w:name w:val="font21"/>
    <w:basedOn w:val="7"/>
    <w:autoRedefine/>
    <w:qFormat/>
    <w:uiPriority w:val="0"/>
    <w:rPr>
      <w:rFonts w:ascii="宋体" w:hAnsi="宋体" w:eastAsia="宋体" w:cs="宋体"/>
      <w:b/>
      <w:bCs/>
      <w:color w:val="000000"/>
      <w:sz w:val="18"/>
      <w:szCs w:val="18"/>
      <w:u w:val="none"/>
    </w:rPr>
  </w:style>
  <w:style w:type="character" w:customStyle="1" w:styleId="11">
    <w:name w:val="font31"/>
    <w:basedOn w:val="7"/>
    <w:autoRedefine/>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2024-03-19T03:25:00Z</dcterms:created>
  <dc:creator>神仙猫</dc:creator>
  <cp:lastModifiedBy>庄伯阳</cp:lastModifiedBy>
  <cp:lastPrinted>2024-04-07T02:07:00Z</cp:lastPrinted>
  <dcterms:modified xsi:type="dcterms:W3CDTF">2024-04-10T07:32:58Z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3E2E778A0E0E4F5398CF3FAE538195E6</vt:lpwstr>
  </property>
</Properties>
</file>