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verflowPunct w:val="0"/>
        <w:spacing w:before="54"/>
        <w:rPr>
          <w:rFonts w:hint="default" w:ascii="Times New Roman" w:hAnsi="Times New Roman" w:eastAsia="黑体" w:cs="Times New Roman"/>
          <w:sz w:val="32"/>
          <w:szCs w:val="24"/>
          <w:lang w:eastAsia="zh-CN"/>
        </w:rPr>
      </w:pPr>
      <w:r>
        <w:rPr>
          <w:rFonts w:hint="default" w:ascii="Times New Roman" w:hAnsi="Times New Roman" w:eastAsia="黑体" w:cs="Times New Roman"/>
          <w:sz w:val="32"/>
          <w:szCs w:val="24"/>
          <w:lang w:eastAsia="zh-CN"/>
        </w:rPr>
        <w:t>附件3</w:t>
      </w:r>
    </w:p>
    <w:p>
      <w:pPr>
        <w:pStyle w:val="4"/>
        <w:overflowPunct w:val="0"/>
        <w:spacing w:before="8"/>
        <w:ind w:firstLine="88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太仓市建筑垃圾综合治理重点任务清单（2024年）</w:t>
      </w:r>
    </w:p>
    <w:tbl>
      <w:tblPr>
        <w:tblStyle w:val="8"/>
        <w:tblW w:w="13949" w:type="dxa"/>
        <w:tblInd w:w="-91" w:type="dxa"/>
        <w:tblLayout w:type="autofit"/>
        <w:tblCellMar>
          <w:top w:w="0" w:type="dxa"/>
          <w:left w:w="108" w:type="dxa"/>
          <w:bottom w:w="0" w:type="dxa"/>
          <w:right w:w="108" w:type="dxa"/>
        </w:tblCellMar>
      </w:tblPr>
      <w:tblGrid>
        <w:gridCol w:w="583"/>
        <w:gridCol w:w="6484"/>
        <w:gridCol w:w="5323"/>
        <w:gridCol w:w="1559"/>
      </w:tblGrid>
      <w:tr>
        <w:tblPrEx>
          <w:tblCellMar>
            <w:top w:w="0" w:type="dxa"/>
            <w:left w:w="108" w:type="dxa"/>
            <w:bottom w:w="0" w:type="dxa"/>
            <w:right w:w="108" w:type="dxa"/>
          </w:tblCellMar>
        </w:tblPrEx>
        <w:trPr>
          <w:trHeight w:val="378" w:hRule="atLeast"/>
        </w:trPr>
        <w:tc>
          <w:tcPr>
            <w:tcW w:w="0" w:type="auto"/>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line="294" w:lineRule="exact"/>
              <w:jc w:val="center"/>
              <w:rPr>
                <w:rFonts w:hint="default" w:ascii="Times New Roman" w:hAnsi="Times New Roman" w:eastAsia="黑体" w:cs="Times New Roman"/>
              </w:rPr>
            </w:pPr>
            <w:r>
              <w:rPr>
                <w:rFonts w:hint="default" w:ascii="Times New Roman" w:hAnsi="Times New Roman" w:eastAsia="黑体" w:cs="Times New Roman"/>
              </w:rPr>
              <w:t>项目</w:t>
            </w: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line="294" w:lineRule="exact"/>
              <w:jc w:val="center"/>
              <w:rPr>
                <w:rFonts w:hint="default" w:ascii="Times New Roman" w:hAnsi="Times New Roman" w:eastAsia="黑体" w:cs="Times New Roman"/>
              </w:rPr>
            </w:pPr>
            <w:r>
              <w:rPr>
                <w:rFonts w:hint="default" w:ascii="Times New Roman" w:hAnsi="Times New Roman" w:eastAsia="黑体" w:cs="Times New Roman"/>
              </w:rPr>
              <w:t>重点任务</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line="294" w:lineRule="exact"/>
              <w:jc w:val="center"/>
              <w:rPr>
                <w:rFonts w:hint="default" w:ascii="Times New Roman" w:hAnsi="Times New Roman" w:eastAsia="黑体" w:cs="Times New Roman"/>
              </w:rPr>
            </w:pPr>
            <w:r>
              <w:rPr>
                <w:rFonts w:hint="default" w:ascii="Times New Roman" w:hAnsi="Times New Roman" w:eastAsia="黑体" w:cs="Times New Roman"/>
              </w:rPr>
              <w:t>责任主体</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line="294" w:lineRule="exact"/>
              <w:jc w:val="center"/>
              <w:rPr>
                <w:rFonts w:hint="default" w:ascii="Times New Roman" w:hAnsi="Times New Roman" w:eastAsia="黑体" w:cs="Times New Roman"/>
              </w:rPr>
            </w:pPr>
            <w:r>
              <w:rPr>
                <w:rFonts w:hint="default" w:ascii="Times New Roman" w:hAnsi="Times New Roman" w:eastAsia="黑体" w:cs="Times New Roman"/>
              </w:rPr>
              <w:t>完成时限</w:t>
            </w:r>
          </w:p>
        </w:tc>
      </w:tr>
      <w:tr>
        <w:tblPrEx>
          <w:tblCellMar>
            <w:top w:w="0" w:type="dxa"/>
            <w:left w:w="108" w:type="dxa"/>
            <w:bottom w:w="0" w:type="dxa"/>
            <w:right w:w="108" w:type="dxa"/>
          </w:tblCellMar>
        </w:tblPrEx>
        <w:trPr>
          <w:trHeight w:val="737" w:hRule="atLeast"/>
        </w:trPr>
        <w:tc>
          <w:tcPr>
            <w:tcW w:w="0" w:type="auto"/>
            <w:vMerge w:val="restart"/>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完</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善</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顶</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层</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设</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计</w:t>
            </w: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参与制定建筑垃圾分类排放工作的相关指引或标准</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启动建筑垃圾污染环境防治专项规划修订</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完善管理体系，推动各级建筑垃圾管理机构实体化运作，建立完善纵向层级治理体系</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restart"/>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强</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化</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源</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头</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管</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控</w:t>
            </w: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出台全市房屋建筑项目建筑垃圾减量化指导意见</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市住建局、市城管局牵头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研究建立处理方案备案与施工许可证办理衔接机制</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市行政审批局、市住建局、市城管局牵头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建立物业管理区域装修垃圾源头管理制度，并纳入物业考核内容</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市住建局、市城管局牵头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明确工程渣土、工程泥浆源头排放要求，制定相关管理标准</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市住建局、市城管局、市水务局、市交运局牵头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明确工程项目建筑垃圾处理招投标管理要求</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市城管局、市住建局、市交运局牵头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nil"/>
              <w:left w:val="single" w:color="000000" w:sz="6" w:space="0"/>
              <w:bottom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开展建筑工地环境整治提升</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市住建局、市城管局、市水务局、市交运局牵头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restart"/>
            <w:tcBorders>
              <w:top w:val="single" w:color="000000" w:sz="6" w:space="0"/>
              <w:left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加</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强</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运</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输</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监</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管</w:t>
            </w: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实施运输企业、运输车辆的专库专项管理</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市城管局、市交运局、市公安局牵头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2024年6月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开展“净车”行动，形成常态长效工作机制</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市城管局、市交运局、市公安局牵头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2024年6月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研究建筑垃圾水路运输管理，建立码头和水陆联运转运体系</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市交运局、市城管局牵头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建立健全常态化联防联控执法机制，开展过境垃圾、工程渣土联防联控集中行动</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市城管局、市交运局、市公安局、市生态环境局牵头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2024年6月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制定运输车辆安全技术标准</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市公安局、市城管局牵头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2024年6月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出台运输企业监督管理相关制度</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市城管局、市交运局、市公安局牵头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2024年6月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加快新能源渣土车推广应用，研究制定燃油渣土车淘汰更新和新能源渣土车推广政策以及燃油渣土车限行政策等</w:t>
            </w:r>
          </w:p>
        </w:tc>
        <w:tc>
          <w:tcPr>
            <w:tcW w:w="5323"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市城管局、市住建局、市生态环境局、市公安局、市发改委、市财政局牵头</w:t>
            </w:r>
          </w:p>
        </w:tc>
        <w:tc>
          <w:tcPr>
            <w:tcW w:w="1559" w:type="dxa"/>
            <w:tcBorders>
              <w:top w:val="single" w:color="000000" w:sz="6" w:space="0"/>
              <w:left w:val="single" w:color="000000" w:sz="6" w:space="0"/>
              <w:bottom w:val="single" w:color="000000" w:sz="6"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left w:val="single" w:color="000000" w:sz="6" w:space="0"/>
              <w:bottom w:val="single" w:color="auto" w:sz="4" w:space="0"/>
              <w:right w:val="single" w:color="000000" w:sz="6" w:space="0"/>
              <w:tl2br w:val="nil"/>
              <w:tr2bl w:val="nil"/>
            </w:tcBorders>
            <w:vAlign w:val="center"/>
          </w:tcPr>
          <w:p>
            <w:pPr>
              <w:pStyle w:val="13"/>
              <w:kinsoku w:val="0"/>
              <w:overflowPunct w:val="0"/>
              <w:spacing w:before="79"/>
              <w:ind w:left="108"/>
              <w:jc w:val="center"/>
              <w:rPr>
                <w:rFonts w:hint="default" w:ascii="Times New Roman" w:hAnsi="Times New Roman" w:eastAsia="仿宋_GB2312" w:cs="Times New Roman"/>
              </w:rPr>
            </w:pPr>
          </w:p>
        </w:tc>
        <w:tc>
          <w:tcPr>
            <w:tcW w:w="6484" w:type="dxa"/>
            <w:tcBorders>
              <w:top w:val="single" w:color="000000" w:sz="6" w:space="0"/>
              <w:left w:val="single" w:color="000000" w:sz="6" w:space="0"/>
              <w:bottom w:val="single" w:color="auto" w:sz="4"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建筑垃圾运输价和处置价纳入工程造价体系，定期发布相关价格信息</w:t>
            </w:r>
          </w:p>
        </w:tc>
        <w:tc>
          <w:tcPr>
            <w:tcW w:w="5323" w:type="dxa"/>
            <w:tcBorders>
              <w:top w:val="single" w:color="000000" w:sz="6" w:space="0"/>
              <w:left w:val="single" w:color="000000" w:sz="6" w:space="0"/>
              <w:bottom w:val="single" w:color="auto" w:sz="4" w:space="0"/>
              <w:right w:val="single" w:color="000000" w:sz="6"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市住建局、市城管局、市财政局牵头</w:t>
            </w:r>
          </w:p>
        </w:tc>
        <w:tc>
          <w:tcPr>
            <w:tcW w:w="1559" w:type="dxa"/>
            <w:tcBorders>
              <w:top w:val="single" w:color="000000" w:sz="6" w:space="0"/>
              <w:left w:val="single" w:color="000000" w:sz="6" w:space="0"/>
              <w:bottom w:val="single" w:color="auto" w:sz="4" w:space="0"/>
              <w:right w:val="single" w:color="000000" w:sz="6"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提</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升</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处</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置</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能</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力</w:t>
            </w:r>
          </w:p>
        </w:tc>
        <w:tc>
          <w:tcPr>
            <w:tcW w:w="6484"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根据需求配置建设调配场、转运场</w:t>
            </w:r>
          </w:p>
        </w:tc>
        <w:tc>
          <w:tcPr>
            <w:tcW w:w="5323"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市城管局、城发集团牵头</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根据需求配置建设水陆驳载点（码头）</w:t>
            </w:r>
          </w:p>
        </w:tc>
        <w:tc>
          <w:tcPr>
            <w:tcW w:w="5323"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市交运局、市城管局牵头</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推进处置设施建设和运维，全市年进场量不少于30万吨</w:t>
            </w:r>
          </w:p>
        </w:tc>
        <w:tc>
          <w:tcPr>
            <w:tcW w:w="5323"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市城管局、城发集团牵头</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建成工程渣土消纳信息定期公布机制</w:t>
            </w:r>
          </w:p>
        </w:tc>
        <w:tc>
          <w:tcPr>
            <w:tcW w:w="5323"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市城管局牵头</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制定工程渣土分类消纳标准，明确消纳利用场景</w:t>
            </w:r>
          </w:p>
        </w:tc>
        <w:tc>
          <w:tcPr>
            <w:tcW w:w="5323"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市生态环境局牵头</w:t>
            </w:r>
          </w:p>
        </w:tc>
        <w:tc>
          <w:tcPr>
            <w:tcW w:w="1559"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完善再生产品工程造价体系，定期发布更新再生产品价格信息</w:t>
            </w:r>
          </w:p>
        </w:tc>
        <w:tc>
          <w:tcPr>
            <w:tcW w:w="5323"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rPr>
                <w:rFonts w:hint="default" w:ascii="Times New Roman" w:hAnsi="Times New Roman" w:eastAsia="仿宋_GB2312" w:cs="Times New Roman"/>
              </w:rPr>
            </w:pPr>
            <w:r>
              <w:rPr>
                <w:rFonts w:hint="default" w:ascii="Times New Roman" w:hAnsi="Times New Roman" w:eastAsia="仿宋_GB2312" w:cs="Times New Roman"/>
              </w:rPr>
              <w:t>市住建局牵头</w:t>
            </w:r>
          </w:p>
        </w:tc>
        <w:tc>
          <w:tcPr>
            <w:tcW w:w="1559"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2024年6月</w:t>
            </w:r>
          </w:p>
        </w:tc>
      </w:tr>
      <w:tr>
        <w:tblPrEx>
          <w:tblCellMar>
            <w:top w:w="0" w:type="dxa"/>
            <w:left w:w="108" w:type="dxa"/>
            <w:bottom w:w="0" w:type="dxa"/>
            <w:right w:w="108" w:type="dxa"/>
          </w:tblCellMar>
        </w:tblPrEx>
        <w:trPr>
          <w:trHeight w:val="73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增</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强</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监</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管</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效</w:t>
            </w:r>
          </w:p>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能</w:t>
            </w:r>
          </w:p>
        </w:tc>
        <w:tc>
          <w:tcPr>
            <w:tcW w:w="6484"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完善建筑垃圾综合管理信息平台</w:t>
            </w:r>
          </w:p>
        </w:tc>
        <w:tc>
          <w:tcPr>
            <w:tcW w:w="5323"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市城管局、公安局牵头</w:t>
            </w:r>
          </w:p>
        </w:tc>
        <w:tc>
          <w:tcPr>
            <w:tcW w:w="1559"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推进装修垃圾联单管理</w:t>
            </w:r>
          </w:p>
        </w:tc>
        <w:tc>
          <w:tcPr>
            <w:tcW w:w="5323"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市城管局、市住建局牵头</w:t>
            </w:r>
          </w:p>
        </w:tc>
        <w:tc>
          <w:tcPr>
            <w:tcW w:w="1559"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推动建筑垃圾全市统筹调度</w:t>
            </w:r>
          </w:p>
        </w:tc>
        <w:tc>
          <w:tcPr>
            <w:tcW w:w="5323"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市城管局牵头</w:t>
            </w:r>
          </w:p>
        </w:tc>
        <w:tc>
          <w:tcPr>
            <w:tcW w:w="1559"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探索“联合惩戒”，建立互通互联的信息互动机制</w:t>
            </w:r>
          </w:p>
        </w:tc>
        <w:tc>
          <w:tcPr>
            <w:tcW w:w="5323"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市城管局、市交运局、市公安局牵头</w:t>
            </w:r>
          </w:p>
        </w:tc>
        <w:tc>
          <w:tcPr>
            <w:tcW w:w="1559"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2024年9月</w:t>
            </w:r>
          </w:p>
        </w:tc>
      </w:tr>
      <w:tr>
        <w:tblPrEx>
          <w:tblCellMar>
            <w:top w:w="0" w:type="dxa"/>
            <w:left w:w="108" w:type="dxa"/>
            <w:bottom w:w="0" w:type="dxa"/>
            <w:right w:w="108" w:type="dxa"/>
          </w:tblCellMar>
        </w:tblPrEx>
        <w:trPr>
          <w:trHeight w:val="73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ind w:left="108"/>
              <w:rPr>
                <w:rFonts w:hint="default" w:ascii="Times New Roman" w:hAnsi="Times New Roman" w:eastAsia="仿宋_GB2312" w:cs="Times New Roman"/>
              </w:rPr>
            </w:pPr>
          </w:p>
        </w:tc>
        <w:tc>
          <w:tcPr>
            <w:tcW w:w="6484"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健全建筑垃圾重大案件的两法衔接制度</w:t>
            </w:r>
          </w:p>
        </w:tc>
        <w:tc>
          <w:tcPr>
            <w:tcW w:w="5323"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left"/>
              <w:rPr>
                <w:rFonts w:hint="default" w:ascii="Times New Roman" w:hAnsi="Times New Roman" w:eastAsia="仿宋_GB2312" w:cs="Times New Roman"/>
              </w:rPr>
            </w:pPr>
            <w:r>
              <w:rPr>
                <w:rFonts w:hint="default" w:ascii="Times New Roman" w:hAnsi="Times New Roman" w:eastAsia="仿宋_GB2312" w:cs="Times New Roman"/>
              </w:rPr>
              <w:t>市委政法委、市检察院、市法院牵头</w:t>
            </w:r>
          </w:p>
        </w:tc>
        <w:tc>
          <w:tcPr>
            <w:tcW w:w="1559" w:type="dxa"/>
            <w:tcBorders>
              <w:top w:val="single" w:color="auto" w:sz="4" w:space="0"/>
              <w:left w:val="single" w:color="auto" w:sz="4" w:space="0"/>
              <w:bottom w:val="single" w:color="auto" w:sz="4" w:space="0"/>
              <w:right w:val="single" w:color="auto" w:sz="4" w:space="0"/>
            </w:tcBorders>
            <w:vAlign w:val="center"/>
          </w:tcPr>
          <w:p>
            <w:pPr>
              <w:pStyle w:val="13"/>
              <w:kinsoku w:val="0"/>
              <w:overflowPunct w:val="0"/>
              <w:spacing w:before="79"/>
              <w:jc w:val="center"/>
              <w:rPr>
                <w:rFonts w:hint="default" w:ascii="Times New Roman" w:hAnsi="Times New Roman" w:eastAsia="仿宋_GB2312" w:cs="Times New Roman"/>
              </w:rPr>
            </w:pPr>
            <w:r>
              <w:rPr>
                <w:rFonts w:hint="default" w:ascii="Times New Roman" w:hAnsi="Times New Roman" w:eastAsia="仿宋_GB2312" w:cs="Times New Roman"/>
              </w:rPr>
              <w:t>2024年12月</w:t>
            </w:r>
          </w:p>
        </w:tc>
      </w:tr>
    </w:tbl>
    <w:p>
      <w:pPr>
        <w:rPr>
          <w:rFonts w:hint="default" w:ascii="Times New Roman" w:hAnsi="Times New Roman" w:eastAsia="楷体_GB2312" w:cs="Times New Roman"/>
          <w:sz w:val="24"/>
        </w:rPr>
      </w:pPr>
    </w:p>
    <w:p>
      <w:pPr>
        <w:rPr>
          <w:rFonts w:hint="default" w:ascii="Times New Roman" w:hAnsi="Times New Roman" w:cs="Times New Roman"/>
        </w:rPr>
      </w:pPr>
      <w:r>
        <w:rPr>
          <w:rFonts w:hint="default" w:ascii="Times New Roman" w:hAnsi="Times New Roman" w:eastAsia="楷体_GB2312" w:cs="Times New Roman"/>
          <w:sz w:val="24"/>
        </w:rPr>
        <w:t>注：以上重点任务均需各镇（区、街道）人民政府（办事处）落实，不再列出；涉及的参与部门，具体事宜另行协调</w:t>
      </w:r>
      <w:bookmarkStart w:id="0" w:name="_GoBack"/>
      <w:bookmarkEnd w:id="0"/>
    </w:p>
    <w:sectPr>
      <w:footerReference r:id="rId3" w:type="default"/>
      <w:pgSz w:w="16838" w:h="11906" w:orient="landscape"/>
      <w:pgMar w:top="1474" w:right="2041" w:bottom="1474" w:left="192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overflowPunct w:val="0"/>
      <w:spacing w:line="14" w:lineRule="auto"/>
      <w:ind w:firstLine="40"/>
      <w:rPr>
        <w:sz w:val="2"/>
        <w:szCs w:val="24"/>
      </w:rPr>
    </w:pPr>
    <w:r>
      <w:rPr>
        <w:sz w:val="2"/>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6"/>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T2yWitIBAACiAwAADgAAAAAAAAABACAAAAAfAQAA&#10;ZHJzL2Uyb0RvYy54bWxQSwUGAAAAAAYABgBZAQAAY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yZjQ1MGMwMDg4NTAzNDgxNzZlYmIxYzk5MjAxYTAifQ=="/>
  </w:docVars>
  <w:rsids>
    <w:rsidRoot w:val="4E4D2004"/>
    <w:rsid w:val="002743FB"/>
    <w:rsid w:val="002B7C6C"/>
    <w:rsid w:val="0037074D"/>
    <w:rsid w:val="003821BF"/>
    <w:rsid w:val="009E6DE8"/>
    <w:rsid w:val="00BA2F04"/>
    <w:rsid w:val="00D83123"/>
    <w:rsid w:val="00F05204"/>
    <w:rsid w:val="0728751D"/>
    <w:rsid w:val="0A032993"/>
    <w:rsid w:val="0F641934"/>
    <w:rsid w:val="103A1983"/>
    <w:rsid w:val="10D93E90"/>
    <w:rsid w:val="2565282D"/>
    <w:rsid w:val="290B4060"/>
    <w:rsid w:val="30F7735C"/>
    <w:rsid w:val="3F045737"/>
    <w:rsid w:val="45E85159"/>
    <w:rsid w:val="487345D4"/>
    <w:rsid w:val="488541A4"/>
    <w:rsid w:val="4E4D2004"/>
    <w:rsid w:val="514B5A33"/>
    <w:rsid w:val="568850AA"/>
    <w:rsid w:val="570B7A8A"/>
    <w:rsid w:val="65163619"/>
    <w:rsid w:val="654C29EB"/>
    <w:rsid w:val="69FC6946"/>
    <w:rsid w:val="6A5B00F2"/>
    <w:rsid w:val="77422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4"/>
    <w:basedOn w:val="1"/>
    <w:next w:val="1"/>
    <w:autoRedefine/>
    <w:qFormat/>
    <w:uiPriority w:val="0"/>
    <w:pPr>
      <w:keepNext/>
      <w:keepLines/>
      <w:spacing w:beforeLines="50"/>
      <w:outlineLvl w:val="3"/>
    </w:pPr>
    <w:rPr>
      <w:rFonts w:ascii="Arial" w:hAnsi="Arial" w:eastAsia="黑体"/>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unhideWhenUsed/>
    <w:qFormat/>
    <w:uiPriority w:val="0"/>
    <w:pPr>
      <w:widowControl/>
      <w:kinsoku w:val="0"/>
      <w:autoSpaceDE w:val="0"/>
      <w:autoSpaceDN w:val="0"/>
      <w:adjustRightInd w:val="0"/>
      <w:snapToGrid w:val="0"/>
      <w:jc w:val="left"/>
    </w:pPr>
    <w:rPr>
      <w:rFonts w:ascii="仿宋" w:hAnsi="仿宋" w:eastAsia="仿宋" w:cs="仿宋"/>
      <w:color w:val="000000"/>
      <w:kern w:val="0"/>
      <w:sz w:val="34"/>
      <w:szCs w:val="34"/>
      <w:lang w:eastAsia="en-US"/>
    </w:rPr>
  </w:style>
  <w:style w:type="paragraph" w:styleId="5">
    <w:name w:val="Body Text Indent"/>
    <w:basedOn w:val="1"/>
    <w:autoRedefine/>
    <w:unhideWhenUsed/>
    <w:qFormat/>
    <w:uiPriority w:val="99"/>
    <w:pPr>
      <w:spacing w:after="120"/>
      <w:ind w:left="420" w:leftChars="200"/>
    </w:pPr>
  </w:style>
  <w:style w:type="paragraph" w:styleId="6">
    <w:name w:val="footer"/>
    <w:basedOn w:val="1"/>
    <w:autoRedefine/>
    <w:unhideWhenUsed/>
    <w:qFormat/>
    <w:uiPriority w:val="0"/>
    <w:pPr>
      <w:tabs>
        <w:tab w:val="center" w:pos="4153"/>
        <w:tab w:val="right" w:pos="8306"/>
      </w:tabs>
      <w:snapToGrid w:val="0"/>
      <w:jc w:val="left"/>
    </w:pPr>
    <w:rPr>
      <w:sz w:val="18"/>
      <w:szCs w:val="18"/>
    </w:rPr>
  </w:style>
  <w:style w:type="paragraph" w:styleId="7">
    <w:name w:val="Body Text First Indent 2"/>
    <w:basedOn w:val="5"/>
    <w:autoRedefine/>
    <w:unhideWhenUsed/>
    <w:qFormat/>
    <w:uiPriority w:val="99"/>
    <w:pPr>
      <w:ind w:firstLine="420" w:firstLineChars="200"/>
    </w:pPr>
  </w:style>
  <w:style w:type="character" w:styleId="10">
    <w:name w:val="page number"/>
    <w:basedOn w:val="9"/>
    <w:autoRedefine/>
    <w:qFormat/>
    <w:uiPriority w:val="0"/>
  </w:style>
  <w:style w:type="character" w:styleId="11">
    <w:name w:val="Hyperlink"/>
    <w:basedOn w:val="9"/>
    <w:uiPriority w:val="0"/>
    <w:rPr>
      <w:color w:val="0000FF"/>
      <w:u w:val="single"/>
    </w:rPr>
  </w:style>
  <w:style w:type="paragraph" w:customStyle="1" w:styleId="12">
    <w:name w:val="段"/>
    <w:next w:val="1"/>
    <w:autoRedefine/>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customStyle="1" w:styleId="13">
    <w:name w:val="Table Paragraph"/>
    <w:basedOn w:val="1"/>
    <w:autoRedefine/>
    <w:unhideWhenUsed/>
    <w:qFormat/>
    <w:uiPriority w:val="1"/>
    <w:rPr>
      <w:rFonts w:hint="eastAsia"/>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3</Pages>
  <Words>1502</Words>
  <Characters>8564</Characters>
  <Lines>71</Lines>
  <Paragraphs>20</Paragraphs>
  <TotalTime>51</TotalTime>
  <ScaleCrop>false</ScaleCrop>
  <LinksUpToDate>false</LinksUpToDate>
  <CharactersWithSpaces>10046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2024-04-24T05:45:00Z</dcterms:created>
  <dc:creator>Liberta</dc:creator>
  <cp:lastModifiedBy>(ˇˍˇ）安静</cp:lastModifiedBy>
  <dcterms:modified xsi:type="dcterms:W3CDTF">2024-04-26T00:57:23Z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A5A1B9957F22468EA8D92F00151BB708_13</vt:lpwstr>
  </property>
</Properties>
</file>