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default" w:ascii="Times New Roman" w:eastAsia="黑体"/>
          <w:szCs w:val="32"/>
        </w:rPr>
      </w:pPr>
      <w:r>
        <w:rPr>
          <w:rFonts w:hint="default" w:ascii="Times New Roman" w:eastAsia="黑体"/>
          <w:szCs w:val="32"/>
        </w:rPr>
        <w:t>附件3</w:t>
      </w:r>
    </w:p>
    <w:p>
      <w:pPr>
        <w:spacing w:line="400" w:lineRule="exact"/>
        <w:jc w:val="center"/>
        <w:rPr>
          <w:rFonts w:hint="default" w:ascii="Times New Roman" w:eastAsia="方正小标宋_GBK"/>
          <w:kern w:val="0"/>
          <w:sz w:val="36"/>
          <w:szCs w:val="36"/>
          <w:lang w:bidi="ar"/>
        </w:rPr>
      </w:pPr>
      <w:r>
        <w:rPr>
          <w:rFonts w:hint="default" w:ascii="Times New Roman" w:eastAsia="方正小标宋_GBK"/>
          <w:kern w:val="0"/>
          <w:sz w:val="36"/>
          <w:szCs w:val="36"/>
          <w:lang w:bidi="ar"/>
        </w:rPr>
        <w:t>废止的规范性文件目录</w:t>
      </w:r>
    </w:p>
    <w:p>
      <w:pPr>
        <w:spacing w:line="400" w:lineRule="exact"/>
        <w:jc w:val="center"/>
        <w:rPr>
          <w:rFonts w:hint="default" w:ascii="Times New Roman" w:eastAsia="黑体"/>
          <w:szCs w:val="32"/>
        </w:rPr>
      </w:pPr>
    </w:p>
    <w:tbl>
      <w:tblPr>
        <w:tblStyle w:val="2"/>
        <w:tblW w:w="14288" w:type="dxa"/>
        <w:tblInd w:w="0" w:type="dxa"/>
        <w:tblLayout w:type="fixed"/>
        <w:tblCellMar>
          <w:top w:w="15" w:type="dxa"/>
          <w:left w:w="15" w:type="dxa"/>
          <w:bottom w:w="15" w:type="dxa"/>
          <w:right w:w="15" w:type="dxa"/>
        </w:tblCellMar>
      </w:tblPr>
      <w:tblGrid>
        <w:gridCol w:w="680"/>
        <w:gridCol w:w="7938"/>
        <w:gridCol w:w="2835"/>
        <w:gridCol w:w="2835"/>
      </w:tblGrid>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lang w:bidi="ar"/>
              </w:rPr>
              <w:t>序号</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lang w:bidi="ar"/>
              </w:rPr>
              <w:t>文  件</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lang w:bidi="ar"/>
              </w:rPr>
              <w:t>文  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lang w:bidi="ar"/>
              </w:rPr>
              <w:t>时  间</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关于国有企业改制中土地资产处置的意见</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太政发〔1998〕50号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1998年6月17日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2</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关于印发太仓市农村集体建设用地使用权流转实施意见的通知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太政发〔2001〕27号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2001年5月11日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3</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关于印发太仓市城市管理相对集中行政处罚权工作向建制镇延伸的方案的通知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太政发〔2005〕47号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2005年6月2日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4</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关于印发太仓市人民政府信访事项复查复核办法的通知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太政办〔2006〕6号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2006年6月25日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5</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关于公布太仓市市区城市房屋拆迁区位、拆迁区位基准价及商业用房道路类别的通知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太政发〔2009〕68号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2009年8月24日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6</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关于印发加快市区城中村改造建设的实施意见的通知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太政规〔2010〕5号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2010年4月19日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7</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市政府印发太仓市政府投资项目管理办法的通知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太政规〔2011〕7号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2011年2月15日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8</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市政府印发太仓市城乡居民社会养老保险暂行办法的通知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太政规〔2011〕16号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2011年11月28日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9</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关于太仓市人民政府印发太仓市户外广告管理办法的通知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太政规〔2013〕1号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2013年4月22日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10</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太仓市人民政府关于印发太仓市地方储备粮油管理办法的通知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太政规〔2015〕8号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2015年11月16日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11</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市政府关于印发太仓市河道管理实施办法的通知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太政规〔2016〕2号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2016年5月28日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12</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太仓市关于落实苏州市户籍准入管理办法设置过渡期有关规定的通告</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太政规〔2020〕5号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2020年12月25日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13</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太仓市住宅物业管理工作实施意见</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太政规〔2021〕2号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2021年2月22日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14</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太仓市景观照明管理办法</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太政规〔2021〕4号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2021年5月14日</w:t>
            </w:r>
          </w:p>
        </w:tc>
      </w:tr>
      <w:tr>
        <w:tblPrEx>
          <w:tblCellMar>
            <w:top w:w="15" w:type="dxa"/>
            <w:left w:w="15" w:type="dxa"/>
            <w:bottom w:w="15" w:type="dxa"/>
            <w:right w:w="15" w:type="dxa"/>
          </w:tblCellMar>
        </w:tblPrEx>
        <w:trPr>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15</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太仓市生态环境损害赔偿资金管理使用办法</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太政规〔2021〕6号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2021年7月2日</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7EEC0DC3"/>
    <w:rsid w:val="7EEC0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仿宋_GB2312"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2023-03-20T01:55:00Z</dcterms:created>
  <dc:creator>fight for myself</dc:creator>
  <cp:lastModifiedBy>fight for myself</cp:lastModifiedBy>
  <dcterms:modified xsi:type="dcterms:W3CDTF">2023-03-20T01:55:57Z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23D528AE09B44927B1AED1E85D5BEF22</vt:lpwstr>
  </property>
</Properties>
</file>