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Cs/>
          <w:sz w:val="44"/>
          <w:szCs w:val="44"/>
          <w:lang w:val="en-US" w:eastAsia="zh-CN"/>
        </w:rPr>
      </w:pPr>
      <w:r>
        <w:rPr>
          <w:rFonts w:hint="eastAsia" w:ascii="方正小标宋简体" w:hAnsi="方正小标宋简体" w:eastAsia="方正小标宋简体" w:cs="方正小标宋简体"/>
          <w:bCs/>
          <w:sz w:val="44"/>
          <w:szCs w:val="44"/>
          <w:lang w:val="en-US" w:eastAsia="zh-CN"/>
        </w:rPr>
        <w:t>太仓</w:t>
      </w:r>
      <w:r>
        <w:rPr>
          <w:rFonts w:hint="eastAsia" w:ascii="方正小标宋简体" w:hAnsi="方正小标宋简体" w:eastAsia="方正小标宋简体" w:cs="方正小标宋简体"/>
          <w:bCs/>
          <w:sz w:val="44"/>
          <w:szCs w:val="44"/>
        </w:rPr>
        <w:t>市市属国有企业资产交易</w:t>
      </w:r>
      <w:r>
        <w:rPr>
          <w:rFonts w:hint="eastAsia" w:ascii="方正小标宋简体" w:hAnsi="方正小标宋简体" w:eastAsia="方正小标宋简体" w:cs="方正小标宋简体"/>
          <w:bCs/>
          <w:sz w:val="44"/>
          <w:szCs w:val="44"/>
          <w:lang w:val="en-US" w:eastAsia="zh-CN"/>
        </w:rPr>
        <w:t>监督</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eastAsia="方正小标宋简体"/>
          <w:b/>
          <w:bCs/>
          <w:lang w:val="en-US" w:eastAsia="zh-CN"/>
        </w:rPr>
      </w:pPr>
      <w:r>
        <w:rPr>
          <w:rFonts w:hint="eastAsia" w:ascii="方正小标宋简体" w:hAnsi="方正小标宋简体" w:eastAsia="方正小标宋简体" w:cs="方正小标宋简体"/>
          <w:bCs/>
          <w:sz w:val="44"/>
          <w:szCs w:val="44"/>
          <w:lang w:val="en-US" w:eastAsia="zh-CN"/>
        </w:rPr>
        <w:t>管理办法（试行）</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黑体" w:hAnsi="黑体" w:eastAsia="黑体" w:cs="黑体"/>
          <w:color w:val="000000"/>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黑体" w:hAnsi="黑体" w:eastAsia="黑体" w:cs="黑体"/>
          <w:color w:val="000000"/>
          <w:kern w:val="2"/>
          <w:sz w:val="32"/>
          <w:szCs w:val="32"/>
          <w:lang w:val="en-US" w:eastAsia="zh-CN" w:bidi="ar-SA"/>
        </w:rPr>
      </w:pPr>
      <w:r>
        <w:rPr>
          <w:rFonts w:hint="eastAsia" w:ascii="黑体" w:hAnsi="黑体" w:eastAsia="黑体" w:cs="黑体"/>
          <w:color w:val="000000"/>
          <w:kern w:val="2"/>
          <w:sz w:val="32"/>
          <w:szCs w:val="32"/>
          <w:lang w:val="en-US" w:eastAsia="zh-CN" w:bidi="ar-SA"/>
        </w:rPr>
        <w:t>第一章  总  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color w:val="000000"/>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color w:val="000000"/>
          <w:kern w:val="2"/>
          <w:sz w:val="32"/>
          <w:szCs w:val="32"/>
          <w:lang w:val="en-US" w:eastAsia="zh-CN" w:bidi="ar-SA"/>
        </w:rPr>
      </w:pPr>
      <w:r>
        <w:rPr>
          <w:rFonts w:hint="eastAsia" w:ascii="黑体" w:hAnsi="黑体" w:eastAsia="黑体" w:cs="黑体"/>
          <w:color w:val="000000"/>
          <w:kern w:val="2"/>
          <w:sz w:val="32"/>
          <w:szCs w:val="32"/>
          <w:lang w:val="en-US" w:eastAsia="zh-CN" w:bidi="ar-SA"/>
        </w:rPr>
        <w:t>第一条</w:t>
      </w:r>
      <w:r>
        <w:rPr>
          <w:rFonts w:hint="eastAsia" w:ascii="Times New Roman" w:cs="Times New Roman"/>
          <w:color w:val="000000"/>
          <w:kern w:val="2"/>
          <w:sz w:val="32"/>
          <w:szCs w:val="32"/>
          <w:lang w:val="en-US" w:eastAsia="zh-CN" w:bidi="ar-SA"/>
        </w:rPr>
        <w:t xml:space="preserve"> </w:t>
      </w:r>
      <w:r>
        <w:rPr>
          <w:rFonts w:hint="default" w:ascii="Times New Roman" w:hAnsi="Times New Roman" w:eastAsia="仿宋_GB2312" w:cs="Times New Roman"/>
          <w:color w:val="000000"/>
          <w:kern w:val="2"/>
          <w:sz w:val="32"/>
          <w:szCs w:val="32"/>
          <w:lang w:val="en-US" w:eastAsia="zh-CN" w:bidi="ar-SA"/>
        </w:rPr>
        <w:t>为进一步规范我市市属国有企业国有资产交易行为，根据</w:t>
      </w:r>
      <w:r>
        <w:rPr>
          <w:rFonts w:hint="eastAsia" w:ascii="Times New Roman" w:cs="Times New Roman"/>
          <w:color w:val="000000"/>
          <w:kern w:val="2"/>
          <w:sz w:val="32"/>
          <w:szCs w:val="32"/>
          <w:lang w:val="en-US" w:eastAsia="zh-CN" w:bidi="ar-SA"/>
        </w:rPr>
        <w:t>《中华人民共和国公司法》《中华人民共和国企业国有资产法》《</w:t>
      </w:r>
      <w:r>
        <w:rPr>
          <w:rFonts w:hint="default" w:ascii="Times New Roman" w:hAnsi="Times New Roman" w:eastAsia="仿宋_GB2312" w:cs="Times New Roman"/>
          <w:color w:val="000000"/>
          <w:kern w:val="2"/>
          <w:sz w:val="32"/>
          <w:szCs w:val="32"/>
          <w:lang w:val="en-US" w:eastAsia="zh-CN" w:bidi="ar-SA"/>
        </w:rPr>
        <w:t>企业国有资产交易监督管理办法</w:t>
      </w:r>
      <w:r>
        <w:rPr>
          <w:rFonts w:hint="eastAsia" w:ascii="Times New Roman" w:hAnsi="Times New Roman" w:eastAsia="仿宋_GB2312" w:cs="Times New Roman"/>
          <w:color w:val="000000"/>
          <w:kern w:val="2"/>
          <w:sz w:val="32"/>
          <w:szCs w:val="32"/>
          <w:lang w:val="en-US" w:eastAsia="zh-CN" w:bidi="ar-SA"/>
        </w:rPr>
        <w:t>》（</w:t>
      </w:r>
      <w:r>
        <w:rPr>
          <w:rFonts w:hint="default" w:ascii="Times New Roman" w:hAnsi="Times New Roman" w:eastAsia="仿宋_GB2312" w:cs="Times New Roman"/>
          <w:color w:val="000000"/>
          <w:kern w:val="2"/>
          <w:sz w:val="32"/>
          <w:szCs w:val="32"/>
          <w:lang w:val="en-US" w:eastAsia="zh-CN" w:bidi="ar-SA"/>
        </w:rPr>
        <w:t>国务院国资委 财政部令第32号</w:t>
      </w:r>
      <w:r>
        <w:rPr>
          <w:rFonts w:hint="eastAsia" w:ascii="Times New Roman" w:hAnsi="Times New Roman" w:eastAsia="仿宋_GB2312" w:cs="Times New Roman"/>
          <w:color w:val="000000"/>
          <w:kern w:val="2"/>
          <w:sz w:val="32"/>
          <w:szCs w:val="32"/>
          <w:lang w:val="en-US" w:eastAsia="zh-CN" w:bidi="ar-SA"/>
        </w:rPr>
        <w:t>）、</w:t>
      </w:r>
      <w:r>
        <w:rPr>
          <w:rFonts w:hint="eastAsia" w:ascii="Times New Roman" w:cs="Times New Roman"/>
          <w:color w:val="000000"/>
          <w:kern w:val="2"/>
          <w:sz w:val="32"/>
          <w:szCs w:val="32"/>
          <w:lang w:val="en-US" w:eastAsia="zh-CN" w:bidi="ar-SA"/>
        </w:rPr>
        <w:t>《企业国有产权无偿划转管理暂行办法》（国资发产权</w:t>
      </w:r>
      <w:r>
        <w:rPr>
          <w:rFonts w:hint="default" w:ascii="Times New Roman" w:hAnsi="Times New Roman" w:eastAsia="仿宋_GB2312" w:cs="Times New Roman"/>
          <w:color w:val="000000"/>
          <w:kern w:val="2"/>
          <w:sz w:val="32"/>
          <w:szCs w:val="32"/>
          <w:lang w:val="en-US" w:eastAsia="zh-CN" w:bidi="ar-SA"/>
        </w:rPr>
        <w:t>〔2</w:t>
      </w:r>
      <w:r>
        <w:rPr>
          <w:rFonts w:hint="eastAsia" w:ascii="Times New Roman" w:cs="Times New Roman"/>
          <w:color w:val="000000"/>
          <w:kern w:val="2"/>
          <w:sz w:val="32"/>
          <w:szCs w:val="32"/>
          <w:lang w:val="en-US" w:eastAsia="zh-CN" w:bidi="ar-SA"/>
        </w:rPr>
        <w:t>005</w:t>
      </w:r>
      <w:r>
        <w:rPr>
          <w:rFonts w:hint="default" w:ascii="Times New Roman" w:hAnsi="Times New Roman" w:eastAsia="仿宋_GB2312" w:cs="Times New Roman"/>
          <w:color w:val="000000"/>
          <w:kern w:val="2"/>
          <w:sz w:val="32"/>
          <w:szCs w:val="32"/>
          <w:lang w:val="en-US" w:eastAsia="zh-CN" w:bidi="ar-SA"/>
        </w:rPr>
        <w:t>〕</w:t>
      </w:r>
      <w:r>
        <w:rPr>
          <w:rFonts w:hint="eastAsia" w:ascii="Times New Roman" w:cs="Times New Roman"/>
          <w:color w:val="000000"/>
          <w:kern w:val="2"/>
          <w:sz w:val="32"/>
          <w:szCs w:val="32"/>
          <w:lang w:val="en-US" w:eastAsia="zh-CN" w:bidi="ar-SA"/>
        </w:rPr>
        <w:t>2</w:t>
      </w:r>
      <w:r>
        <w:rPr>
          <w:rFonts w:hint="default" w:ascii="Times New Roman" w:hAnsi="Times New Roman" w:eastAsia="仿宋_GB2312" w:cs="Times New Roman"/>
          <w:color w:val="000000"/>
          <w:kern w:val="2"/>
          <w:sz w:val="32"/>
          <w:szCs w:val="32"/>
          <w:lang w:val="en-US" w:eastAsia="zh-CN" w:bidi="ar-SA"/>
        </w:rPr>
        <w:t>39号</w:t>
      </w:r>
      <w:r>
        <w:rPr>
          <w:rFonts w:hint="eastAsia" w:ascii="Times New Roman" w:cs="Times New Roman"/>
          <w:color w:val="000000"/>
          <w:kern w:val="2"/>
          <w:sz w:val="32"/>
          <w:szCs w:val="32"/>
          <w:lang w:val="en-US" w:eastAsia="zh-CN" w:bidi="ar-SA"/>
        </w:rPr>
        <w:t>）、</w:t>
      </w:r>
      <w:r>
        <w:rPr>
          <w:rFonts w:hint="default" w:ascii="Times New Roman" w:hAnsi="Times New Roman" w:eastAsia="仿宋_GB2312" w:cs="Times New Roman"/>
          <w:color w:val="000000"/>
          <w:kern w:val="2"/>
          <w:sz w:val="32"/>
          <w:szCs w:val="32"/>
          <w:lang w:val="en-US" w:eastAsia="zh-CN" w:bidi="ar-SA"/>
        </w:rPr>
        <w:t>《关于企业国有资产交易流转有关事项的通知》（国资发产权规〔2022〕39号）等</w:t>
      </w:r>
      <w:r>
        <w:rPr>
          <w:rFonts w:hint="eastAsia" w:ascii="Times New Roman" w:hAnsi="Times New Roman" w:eastAsia="仿宋_GB2312" w:cs="Times New Roman"/>
          <w:color w:val="000000"/>
          <w:kern w:val="2"/>
          <w:sz w:val="32"/>
          <w:szCs w:val="32"/>
          <w:lang w:val="en-US" w:eastAsia="zh-CN" w:bidi="ar-SA"/>
        </w:rPr>
        <w:t>法律法规和文件</w:t>
      </w:r>
      <w:r>
        <w:rPr>
          <w:rFonts w:hint="default" w:ascii="Times New Roman" w:hAnsi="Times New Roman" w:eastAsia="仿宋_GB2312" w:cs="Times New Roman"/>
          <w:color w:val="000000"/>
          <w:kern w:val="2"/>
          <w:sz w:val="32"/>
          <w:szCs w:val="32"/>
          <w:lang w:val="en-US" w:eastAsia="zh-CN" w:bidi="ar-SA"/>
        </w:rPr>
        <w:t>，</w:t>
      </w:r>
      <w:r>
        <w:rPr>
          <w:rFonts w:hint="eastAsia" w:ascii="Times New Roman" w:cs="Times New Roman"/>
          <w:color w:val="000000"/>
          <w:kern w:val="2"/>
          <w:sz w:val="32"/>
          <w:szCs w:val="32"/>
          <w:lang w:val="en-US" w:eastAsia="zh-CN" w:bidi="ar-SA"/>
        </w:rPr>
        <w:t>结合我市实际，制定本办法。</w:t>
      </w:r>
    </w:p>
    <w:p>
      <w:pPr>
        <w:keepNext w:val="0"/>
        <w:keepLines w:val="0"/>
        <w:pageBreakBefore w:val="0"/>
        <w:widowControl/>
        <w:kinsoku/>
        <w:wordWrap/>
        <w:overflowPunct/>
        <w:topLinePunct w:val="0"/>
        <w:autoSpaceDE/>
        <w:autoSpaceDN/>
        <w:bidi w:val="0"/>
        <w:adjustRightInd/>
        <w:snapToGrid/>
        <w:spacing w:line="560" w:lineRule="exact"/>
        <w:ind w:firstLine="641"/>
        <w:textAlignment w:val="auto"/>
        <w:rPr>
          <w:rFonts w:ascii="Times New Roman"/>
        </w:rPr>
      </w:pPr>
      <w:r>
        <w:rPr>
          <w:rFonts w:hint="eastAsia" w:ascii="黑体" w:hAnsi="黑体" w:eastAsia="黑体" w:cs="黑体"/>
          <w:lang w:val="en-US" w:eastAsia="zh-CN"/>
        </w:rPr>
        <w:t xml:space="preserve">第二条 </w:t>
      </w:r>
      <w:r>
        <w:rPr>
          <w:rFonts w:hint="default" w:ascii="Times New Roman" w:hAnsi="Times New Roman" w:eastAsia="仿宋_GB2312" w:cs="Times New Roman"/>
          <w:lang w:val="en-US" w:eastAsia="zh-CN"/>
        </w:rPr>
        <w:t>本</w:t>
      </w:r>
      <w:r>
        <w:rPr>
          <w:rFonts w:hint="eastAsia" w:ascii="Times New Roman" w:cs="Times New Roman"/>
          <w:lang w:val="en-US" w:eastAsia="zh-CN"/>
        </w:rPr>
        <w:t>办法所称市属国有企业是指</w:t>
      </w:r>
      <w:r>
        <w:rPr>
          <w:rFonts w:hint="default" w:ascii="Times New Roman" w:hAnsi="Times New Roman" w:eastAsia="仿宋_GB2312" w:cs="Times New Roman"/>
          <w:sz w:val="32"/>
          <w:szCs w:val="32"/>
        </w:rPr>
        <w:t>经</w:t>
      </w:r>
      <w:r>
        <w:rPr>
          <w:rFonts w:hint="default" w:ascii="Times New Roman" w:hAnsi="Times New Roman" w:eastAsia="仿宋_GB2312" w:cs="Times New Roman"/>
          <w:sz w:val="32"/>
          <w:szCs w:val="32"/>
          <w:lang w:val="en-US" w:eastAsia="zh-CN"/>
        </w:rPr>
        <w:t>太仓</w:t>
      </w:r>
      <w:r>
        <w:rPr>
          <w:rFonts w:hint="default" w:ascii="Times New Roman" w:hAnsi="Times New Roman" w:eastAsia="仿宋_GB2312" w:cs="Times New Roman"/>
          <w:sz w:val="32"/>
          <w:szCs w:val="32"/>
        </w:rPr>
        <w:t>市人民政府授权</w:t>
      </w:r>
      <w:r>
        <w:rPr>
          <w:rFonts w:hint="default" w:ascii="Times New Roman" w:hAnsi="Times New Roman" w:eastAsia="仿宋_GB2312" w:cs="Times New Roman"/>
          <w:sz w:val="32"/>
          <w:szCs w:val="32"/>
          <w:lang w:val="en-US" w:eastAsia="zh-CN"/>
        </w:rPr>
        <w:t>太仓</w:t>
      </w:r>
      <w:r>
        <w:rPr>
          <w:rFonts w:hint="default" w:ascii="Times New Roman" w:hAnsi="Times New Roman" w:eastAsia="仿宋_GB2312" w:cs="Times New Roman"/>
          <w:sz w:val="32"/>
          <w:szCs w:val="32"/>
        </w:rPr>
        <w:t>市政府国有资产监督管理办公室</w:t>
      </w:r>
      <w:r>
        <w:rPr>
          <w:rFonts w:hint="eastAsia" w:ascii="Times New Roman" w:cs="Times New Roman"/>
          <w:sz w:val="32"/>
          <w:szCs w:val="32"/>
          <w:lang w:eastAsia="zh-CN"/>
        </w:rPr>
        <w:t>（</w:t>
      </w:r>
      <w:r>
        <w:rPr>
          <w:rFonts w:hint="eastAsia" w:ascii="Times New Roman" w:cs="Times New Roman"/>
          <w:sz w:val="32"/>
          <w:szCs w:val="32"/>
          <w:lang w:val="en-US" w:eastAsia="zh-CN"/>
        </w:rPr>
        <w:t>以下简称“市国资办”</w:t>
      </w:r>
      <w:r>
        <w:rPr>
          <w:rFonts w:hint="eastAsia" w:ascii="Times New Roman" w:cs="Times New Roman"/>
          <w:sz w:val="32"/>
          <w:szCs w:val="32"/>
          <w:lang w:eastAsia="zh-CN"/>
        </w:rPr>
        <w:t>）</w:t>
      </w:r>
      <w:r>
        <w:rPr>
          <w:rFonts w:hint="default" w:ascii="Times New Roman" w:hAnsi="Times New Roman" w:eastAsia="仿宋_GB2312" w:cs="Times New Roman"/>
          <w:sz w:val="32"/>
          <w:szCs w:val="32"/>
        </w:rPr>
        <w:t>依法</w:t>
      </w:r>
      <w:r>
        <w:rPr>
          <w:rFonts w:hint="default" w:ascii="Times New Roman" w:hAnsi="Times New Roman" w:eastAsia="仿宋_GB2312" w:cs="Times New Roman"/>
          <w:color w:val="000000"/>
          <w:sz w:val="32"/>
          <w:szCs w:val="32"/>
          <w:lang w:val="en-US" w:eastAsia="zh-CN"/>
        </w:rPr>
        <w:t>履行出资人职责</w:t>
      </w:r>
      <w:r>
        <w:rPr>
          <w:rFonts w:hint="eastAsia" w:ascii="Times New Roman" w:cs="Times New Roman"/>
          <w:color w:val="000000"/>
          <w:sz w:val="32"/>
          <w:szCs w:val="32"/>
          <w:lang w:val="en-US" w:eastAsia="zh-CN"/>
        </w:rPr>
        <w:t>和明确由市国资办履行监管职责的市属国有企业。</w:t>
      </w:r>
      <w:r>
        <w:rPr>
          <w:rFonts w:ascii="Times New Roman" w:eastAsia="仿宋_GB2312"/>
        </w:rPr>
        <w:t>各级子企业（以下简称</w:t>
      </w:r>
      <w:r>
        <w:rPr>
          <w:rFonts w:ascii="Times New Roman"/>
        </w:rPr>
        <w:t xml:space="preserve"> “</w:t>
      </w:r>
      <w:r>
        <w:rPr>
          <w:rFonts w:ascii="Times New Roman" w:eastAsia="仿宋_GB2312"/>
        </w:rPr>
        <w:t>子企业</w:t>
      </w:r>
      <w:r>
        <w:rPr>
          <w:rFonts w:ascii="Times New Roman"/>
        </w:rPr>
        <w:t xml:space="preserve">” </w:t>
      </w:r>
      <w:r>
        <w:rPr>
          <w:rFonts w:ascii="Times New Roman" w:eastAsia="仿宋_GB2312"/>
        </w:rPr>
        <w:t>）是指市属国有企业</w:t>
      </w:r>
      <w:r>
        <w:rPr>
          <w:rFonts w:hint="eastAsia" w:ascii="Times New Roman"/>
          <w:lang w:val="en-US" w:eastAsia="zh-CN"/>
        </w:rPr>
        <w:t>下属</w:t>
      </w:r>
      <w:r>
        <w:rPr>
          <w:rFonts w:ascii="Times New Roman" w:eastAsia="仿宋_GB2312"/>
        </w:rPr>
        <w:t>的各级国有</w:t>
      </w:r>
      <w:r>
        <w:rPr>
          <w:rFonts w:hint="eastAsia" w:ascii="Times New Roman"/>
          <w:lang w:val="en-US" w:eastAsia="zh-CN"/>
        </w:rPr>
        <w:t>全资、</w:t>
      </w:r>
      <w:r>
        <w:rPr>
          <w:rFonts w:ascii="Times New Roman" w:eastAsia="仿宋_GB2312"/>
        </w:rPr>
        <w:t>控股</w:t>
      </w:r>
      <w:r>
        <w:rPr>
          <w:rFonts w:hint="eastAsia" w:ascii="Times New Roman"/>
          <w:lang w:val="en-US" w:eastAsia="zh-CN"/>
        </w:rPr>
        <w:t>及</w:t>
      </w:r>
      <w:r>
        <w:rPr>
          <w:rFonts w:ascii="Times New Roman" w:eastAsia="仿宋_GB2312"/>
        </w:rPr>
        <w:t>实际控制企业。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hAnsi="仿宋_GB2312" w:cs="仿宋_GB2312"/>
          <w:lang w:val="en-US" w:eastAsia="zh-CN"/>
        </w:rPr>
      </w:pPr>
      <w:r>
        <w:rPr>
          <w:rFonts w:hint="eastAsia" w:ascii="黑体" w:hAnsi="黑体" w:eastAsia="黑体" w:cs="黑体"/>
          <w:lang w:val="en-US" w:eastAsia="zh-CN"/>
        </w:rPr>
        <w:t xml:space="preserve">第三条 </w:t>
      </w:r>
      <w:r>
        <w:rPr>
          <w:rFonts w:hint="eastAsia" w:ascii="仿宋_GB2312" w:hAnsi="仿宋_GB2312" w:eastAsia="仿宋_GB2312" w:cs="仿宋_GB2312"/>
          <w:lang w:val="en-US" w:eastAsia="zh-CN"/>
        </w:rPr>
        <w:t>本办法所称资产交易</w:t>
      </w:r>
      <w:r>
        <w:rPr>
          <w:rFonts w:hint="eastAsia" w:hAnsi="仿宋_GB2312" w:cs="仿宋_GB2312"/>
          <w:lang w:val="en-US" w:eastAsia="zh-CN"/>
        </w:rPr>
        <w:t>行为包括：</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lang w:val="en-US" w:eastAsia="zh-CN"/>
        </w:rPr>
      </w:pPr>
      <w:r>
        <w:rPr>
          <w:rFonts w:hint="eastAsia" w:hAnsi="仿宋_GB2312" w:cs="仿宋_GB2312"/>
          <w:lang w:val="en-US" w:eastAsia="zh-CN"/>
        </w:rPr>
        <w:t>（一）市属国有企业及子企业转让其对企业各种形式出资所形成权益的行为（以下称产权转让）；</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lang w:val="en-US" w:eastAsia="zh-CN"/>
        </w:rPr>
      </w:pPr>
      <w:r>
        <w:rPr>
          <w:rFonts w:hint="eastAsia" w:ascii="Times New Roman" w:cs="Times New Roman"/>
          <w:lang w:val="en-US" w:eastAsia="zh-CN"/>
        </w:rPr>
        <w:t>（二）市属国有企业及子企业的重大资产转让行为（以下称资产转让）。</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黑体" w:hAnsi="黑体" w:eastAsia="黑体" w:cs="黑体"/>
          <w:lang w:val="en-US" w:eastAsia="zh-CN"/>
        </w:rPr>
      </w:pPr>
      <w:r>
        <w:rPr>
          <w:rFonts w:hint="eastAsia" w:ascii="黑体" w:hAnsi="黑体" w:eastAsia="黑体" w:cs="黑体"/>
          <w:lang w:val="en-US" w:eastAsia="zh-CN"/>
        </w:rPr>
        <w:t>第二章  资产交易方式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ascii="黑体" w:hAnsi="黑体" w:eastAsia="黑体" w:cs="黑体"/>
          <w:lang w:val="en-US" w:eastAsia="zh-CN"/>
        </w:rPr>
        <w:t>第四条</w:t>
      </w:r>
      <w:r>
        <w:rPr>
          <w:rFonts w:hint="eastAsia"/>
          <w:lang w:val="en-US" w:eastAsia="zh-CN"/>
        </w:rPr>
        <w:t xml:space="preserve"> 资产交易应当遵守国家法律法规和政策规定，有利于国有经济布局和结构调整优化，充分发挥市场配置资源作用，遵循等价有偿和公开公平的原则，在依法设立的产权交易机构中公开进行。</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lang w:val="en-US" w:eastAsia="zh-CN"/>
        </w:rPr>
      </w:pPr>
      <w:r>
        <w:rPr>
          <w:rFonts w:hint="eastAsia" w:ascii="黑体" w:hAnsi="黑体" w:eastAsia="黑体" w:cs="黑体"/>
          <w:lang w:val="en-US" w:eastAsia="zh-CN"/>
        </w:rPr>
        <w:t xml:space="preserve">第五条 </w:t>
      </w:r>
      <w:r>
        <w:rPr>
          <w:rFonts w:hint="default" w:ascii="Times New Roman" w:hAnsi="Times New Roman" w:eastAsia="仿宋_GB2312" w:cs="Times New Roman"/>
          <w:lang w:val="en-US" w:eastAsia="zh-CN"/>
        </w:rPr>
        <w:t>以下情形的</w:t>
      </w:r>
      <w:r>
        <w:rPr>
          <w:rFonts w:hint="eastAsia" w:ascii="Times New Roman" w:hAnsi="Times New Roman" w:cs="Times New Roman"/>
          <w:lang w:val="en-US" w:eastAsia="zh-CN"/>
        </w:rPr>
        <w:t>资产交易</w:t>
      </w:r>
      <w:r>
        <w:rPr>
          <w:rFonts w:hint="default" w:ascii="Times New Roman" w:hAnsi="Times New Roman" w:eastAsia="仿宋_GB2312" w:cs="Times New Roman"/>
          <w:lang w:val="en-US" w:eastAsia="zh-CN"/>
        </w:rPr>
        <w:t>可以采取非公开协议转让方式：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（一）涉及主业处于关系国家安全、国民经济命脉的重要行业和关键领域企业的重组整合，对受让方有特殊要求，企业产权需要在国有</w:t>
      </w:r>
      <w:r>
        <w:rPr>
          <w:rFonts w:hint="eastAsia" w:ascii="Times New Roman" w:cs="Times New Roman"/>
          <w:lang w:val="en-US" w:eastAsia="zh-CN"/>
        </w:rPr>
        <w:t>全资</w:t>
      </w:r>
      <w:r>
        <w:rPr>
          <w:rFonts w:hint="default" w:ascii="Times New Roman" w:hAnsi="Times New Roman" w:eastAsia="仿宋_GB2312" w:cs="Times New Roman"/>
          <w:lang w:val="en-US" w:eastAsia="zh-CN"/>
        </w:rPr>
        <w:t>及控股企业之间转让的。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（二）同一国家出资企业及其各级控股企业</w:t>
      </w:r>
      <w:r>
        <w:rPr>
          <w:rFonts w:hint="eastAsia" w:ascii="Times New Roman" w:cs="Times New Roman"/>
          <w:lang w:val="en-US" w:eastAsia="zh-CN"/>
        </w:rPr>
        <w:t>或实际控制企业</w:t>
      </w:r>
      <w:r>
        <w:rPr>
          <w:rFonts w:hint="default" w:ascii="Times New Roman" w:hAnsi="Times New Roman" w:eastAsia="仿宋_GB2312" w:cs="Times New Roman"/>
          <w:lang w:val="en-US" w:eastAsia="zh-CN"/>
        </w:rPr>
        <w:t>之间因实施内部重组整合进行产权转让的。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firstLineChars="200"/>
        <w:textAlignment w:val="auto"/>
        <w:rPr>
          <w:rFonts w:hint="default" w:ascii="Times New Roman" w:hAnsi="Times New Roman" w:eastAsia="仿宋_GB2312" w:cs="Times New Roman"/>
          <w:lang w:val="en-US" w:eastAsia="zh-CN"/>
        </w:rPr>
      </w:pPr>
      <w:r>
        <w:rPr>
          <w:rFonts w:hint="eastAsia" w:ascii="Times New Roman" w:hAnsi="Times New Roman" w:cs="Times New Roman"/>
          <w:i w:val="0"/>
          <w:iCs w:val="0"/>
          <w:caps w:val="0"/>
          <w:color w:val="auto"/>
          <w:spacing w:val="0"/>
          <w:sz w:val="32"/>
          <w:szCs w:val="32"/>
          <w:shd w:val="clear" w:fill="FFFFFF"/>
          <w:lang w:eastAsia="zh-CN"/>
        </w:rPr>
        <w:t>（</w:t>
      </w:r>
      <w:r>
        <w:rPr>
          <w:rFonts w:hint="eastAsia" w:ascii="Times New Roman" w:hAnsi="Times New Roman" w:cs="Times New Roman"/>
          <w:i w:val="0"/>
          <w:iCs w:val="0"/>
          <w:caps w:val="0"/>
          <w:color w:val="auto"/>
          <w:spacing w:val="0"/>
          <w:sz w:val="32"/>
          <w:szCs w:val="32"/>
          <w:shd w:val="clear" w:fill="FFFFFF"/>
          <w:lang w:val="en-US" w:eastAsia="zh-CN"/>
        </w:rPr>
        <w:t>三</w:t>
      </w:r>
      <w:r>
        <w:rPr>
          <w:rFonts w:hint="eastAsia" w:ascii="Times New Roman" w:hAnsi="Times New Roman" w:cs="Times New Roman"/>
          <w:i w:val="0"/>
          <w:iCs w:val="0"/>
          <w:caps w:val="0"/>
          <w:color w:val="auto"/>
          <w:spacing w:val="0"/>
          <w:sz w:val="32"/>
          <w:szCs w:val="32"/>
          <w:shd w:val="clear" w:fill="FFFFFF"/>
          <w:lang w:eastAsia="zh-CN"/>
        </w:rPr>
        <w:t>）</w:t>
      </w:r>
      <w:r>
        <w:rPr>
          <w:rFonts w:hint="default" w:ascii="Times New Roman" w:hAnsi="Times New Roman" w:eastAsia="仿宋_GB2312" w:cs="Times New Roman"/>
          <w:i w:val="0"/>
          <w:iCs w:val="0"/>
          <w:caps w:val="0"/>
          <w:color w:val="auto"/>
          <w:spacing w:val="0"/>
          <w:sz w:val="32"/>
          <w:szCs w:val="32"/>
          <w:shd w:val="clear" w:fill="FFFFFF"/>
        </w:rPr>
        <w:t>涉及政府主导推动的国有资本布局优化和结构调整，以及专业化重组等重大事项，对受让方有特殊要求</w:t>
      </w:r>
      <w:r>
        <w:rPr>
          <w:rFonts w:hint="eastAsia" w:ascii="Times New Roman" w:cs="Times New Roman"/>
          <w:i w:val="0"/>
          <w:iCs w:val="0"/>
          <w:caps w:val="0"/>
          <w:color w:val="auto"/>
          <w:spacing w:val="0"/>
          <w:sz w:val="32"/>
          <w:szCs w:val="32"/>
          <w:shd w:val="clear" w:fill="FFFFFF"/>
          <w:lang w:eastAsia="zh-CN"/>
        </w:rPr>
        <w:t>，</w:t>
      </w:r>
      <w:r>
        <w:rPr>
          <w:rFonts w:hint="eastAsia" w:ascii="Times New Roman" w:cs="Times New Roman"/>
          <w:i w:val="0"/>
          <w:iCs w:val="0"/>
          <w:caps w:val="0"/>
          <w:color w:val="auto"/>
          <w:spacing w:val="0"/>
          <w:sz w:val="32"/>
          <w:szCs w:val="32"/>
          <w:shd w:val="clear" w:fill="FFFFFF"/>
          <w:lang w:val="en-US" w:eastAsia="zh-CN"/>
        </w:rPr>
        <w:t>企业产权</w:t>
      </w:r>
      <w:r>
        <w:rPr>
          <w:rFonts w:hint="default" w:ascii="Times New Roman" w:hAnsi="Times New Roman" w:eastAsia="仿宋_GB2312" w:cs="Times New Roman"/>
          <w:i w:val="0"/>
          <w:iCs w:val="0"/>
          <w:caps w:val="0"/>
          <w:color w:val="auto"/>
          <w:spacing w:val="0"/>
          <w:sz w:val="32"/>
          <w:szCs w:val="32"/>
          <w:shd w:val="clear" w:fill="FFFFFF"/>
        </w:rPr>
        <w:t>在不同的</w:t>
      </w:r>
      <w:r>
        <w:rPr>
          <w:rFonts w:hint="eastAsia" w:ascii="Times New Roman" w:cs="Times New Roman"/>
          <w:i w:val="0"/>
          <w:iCs w:val="0"/>
          <w:caps w:val="0"/>
          <w:color w:val="auto"/>
          <w:spacing w:val="0"/>
          <w:sz w:val="32"/>
          <w:szCs w:val="32"/>
          <w:shd w:val="clear" w:fill="FFFFFF"/>
          <w:lang w:val="en-US" w:eastAsia="zh-CN"/>
        </w:rPr>
        <w:t>国有全资</w:t>
      </w:r>
      <w:r>
        <w:rPr>
          <w:rFonts w:hint="default" w:ascii="Times New Roman" w:hAnsi="Times New Roman" w:eastAsia="仿宋_GB2312" w:cs="Times New Roman"/>
          <w:i w:val="0"/>
          <w:iCs w:val="0"/>
          <w:caps w:val="0"/>
          <w:color w:val="auto"/>
          <w:spacing w:val="0"/>
          <w:sz w:val="32"/>
          <w:szCs w:val="32"/>
          <w:shd w:val="clear" w:fill="FFFFFF"/>
        </w:rPr>
        <w:t>及其控股企业之间</w:t>
      </w:r>
      <w:r>
        <w:rPr>
          <w:rFonts w:hint="eastAsia" w:ascii="Times New Roman" w:cs="Times New Roman"/>
          <w:i w:val="0"/>
          <w:iCs w:val="0"/>
          <w:caps w:val="0"/>
          <w:color w:val="auto"/>
          <w:spacing w:val="0"/>
          <w:sz w:val="32"/>
          <w:szCs w:val="32"/>
          <w:shd w:val="clear" w:fill="FFFFFF"/>
          <w:lang w:val="en-US" w:eastAsia="zh-CN"/>
        </w:rPr>
        <w:t>转让的</w:t>
      </w:r>
      <w:r>
        <w:rPr>
          <w:rFonts w:hint="default" w:ascii="Times New Roman" w:hAnsi="Times New Roman" w:eastAsia="仿宋_GB2312" w:cs="Times New Roman"/>
          <w:i w:val="0"/>
          <w:iCs w:val="0"/>
          <w:caps w:val="0"/>
          <w:color w:val="auto"/>
          <w:spacing w:val="0"/>
          <w:sz w:val="32"/>
          <w:szCs w:val="32"/>
          <w:shd w:val="clear" w:fill="FFFFFF"/>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cs="Times New Roman"/>
          <w:lang w:val="en-US" w:eastAsia="zh-CN"/>
        </w:rPr>
      </w:pPr>
      <w:r>
        <w:rPr>
          <w:rFonts w:hint="eastAsia" w:ascii="Times New Roman" w:hAnsi="Times New Roman" w:cs="Times New Roman"/>
          <w:lang w:val="en-US" w:eastAsia="zh-CN"/>
        </w:rPr>
        <w:t>（四）涉及国家出资企业内部或特定行业的资产转让，确需在国有</w:t>
      </w:r>
      <w:r>
        <w:rPr>
          <w:rFonts w:hint="eastAsia" w:ascii="Times New Roman" w:cs="Times New Roman"/>
          <w:lang w:val="en-US" w:eastAsia="zh-CN"/>
        </w:rPr>
        <w:t>全资、</w:t>
      </w:r>
      <w:r>
        <w:rPr>
          <w:rFonts w:hint="eastAsia" w:ascii="Times New Roman" w:hAnsi="Times New Roman" w:cs="Times New Roman"/>
          <w:lang w:val="en-US" w:eastAsia="zh-CN"/>
        </w:rPr>
        <w:t>控股</w:t>
      </w:r>
      <w:r>
        <w:rPr>
          <w:rFonts w:hint="eastAsia" w:ascii="Times New Roman" w:cs="Times New Roman"/>
          <w:lang w:val="en-US" w:eastAsia="zh-CN"/>
        </w:rPr>
        <w:t>及实际控制企业</w:t>
      </w:r>
      <w:r>
        <w:rPr>
          <w:rFonts w:hint="eastAsia" w:ascii="Times New Roman" w:hAnsi="Times New Roman" w:cs="Times New Roman"/>
          <w:lang w:val="en-US" w:eastAsia="zh-CN"/>
        </w:rPr>
        <w:t>之间非公开转让的。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cs="Times New Roman"/>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黑体" w:hAnsi="黑体" w:eastAsia="黑体" w:cs="黑体"/>
          <w:lang w:val="en-US" w:eastAsia="zh-CN"/>
        </w:rPr>
      </w:pPr>
      <w:r>
        <w:rPr>
          <w:rFonts w:hint="eastAsia" w:ascii="黑体" w:hAnsi="黑体" w:eastAsia="黑体" w:cs="黑体"/>
          <w:lang w:val="en-US" w:eastAsia="zh-CN"/>
        </w:rPr>
        <w:t>第三章  资产交易审批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cs="Times New Roman"/>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Times New Roman" w:eastAsia="仿宋_GB2312" w:cs="Times New Roman"/>
          <w:kern w:val="2"/>
          <w:sz w:val="32"/>
          <w:szCs w:val="32"/>
          <w:lang w:val="en-US" w:eastAsia="zh-CN" w:bidi="ar-SA"/>
        </w:rPr>
      </w:pPr>
      <w:r>
        <w:rPr>
          <w:rFonts w:hint="eastAsia" w:ascii="黑体" w:hAnsi="黑体" w:eastAsia="黑体" w:cs="黑体"/>
          <w:kern w:val="2"/>
          <w:sz w:val="32"/>
          <w:szCs w:val="32"/>
          <w:lang w:val="en-US" w:eastAsia="zh-CN" w:bidi="ar-SA"/>
        </w:rPr>
        <w:t>第六条</w:t>
      </w:r>
      <w:r>
        <w:rPr>
          <w:rFonts w:hint="eastAsia" w:ascii="仿宋_GB2312" w:hAnsi="Times New Roman" w:eastAsia="仿宋_GB2312" w:cs="Times New Roman"/>
          <w:kern w:val="2"/>
          <w:sz w:val="32"/>
          <w:szCs w:val="32"/>
          <w:lang w:val="en-US" w:eastAsia="zh-CN" w:bidi="ar-SA"/>
        </w:rPr>
        <w:t xml:space="preserve"> </w:t>
      </w:r>
      <w:r>
        <w:rPr>
          <w:rFonts w:hint="default" w:ascii="仿宋_GB2312" w:hAnsi="Times New Roman" w:eastAsia="仿宋_GB2312" w:cs="Times New Roman"/>
          <w:kern w:val="2"/>
          <w:sz w:val="32"/>
          <w:szCs w:val="32"/>
          <w:lang w:val="en-US" w:eastAsia="zh-CN" w:bidi="ar-SA"/>
        </w:rPr>
        <w:t>资产交易实行分级</w:t>
      </w:r>
      <w:r>
        <w:rPr>
          <w:rFonts w:hint="eastAsia" w:cs="Times New Roman"/>
          <w:kern w:val="2"/>
          <w:sz w:val="32"/>
          <w:szCs w:val="32"/>
          <w:lang w:val="en-US" w:eastAsia="zh-CN" w:bidi="ar-SA"/>
        </w:rPr>
        <w:t>审批</w:t>
      </w:r>
      <w:r>
        <w:rPr>
          <w:rFonts w:hint="eastAsia" w:ascii="仿宋_GB2312" w:hAnsi="Times New Roman" w:eastAsia="仿宋_GB2312" w:cs="Times New Roman"/>
          <w:kern w:val="2"/>
          <w:sz w:val="32"/>
          <w:szCs w:val="32"/>
          <w:lang w:val="en-US" w:eastAsia="zh-CN" w:bidi="ar-SA"/>
        </w:rPr>
        <w:t>，由市属国有企业投资决策委员会（以下简称“投委会”）及市属国有企业按照各自权限做好资产交易的决策及审批。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cs="Times New Roman"/>
          <w:kern w:val="0"/>
          <w:lang w:val="en-US" w:eastAsia="zh-CN"/>
        </w:rPr>
      </w:pPr>
      <w:r>
        <w:rPr>
          <w:rFonts w:hint="eastAsia" w:ascii="Times New Roman" w:cs="Times New Roman"/>
          <w:lang w:val="en-US" w:eastAsia="zh-CN"/>
        </w:rPr>
        <w:t>（一）公开转让：</w:t>
      </w:r>
      <w:r>
        <w:rPr>
          <w:rFonts w:hint="default" w:ascii="Times New Roman" w:hAnsi="Times New Roman" w:eastAsia="仿宋_GB2312" w:cs="Times New Roman"/>
        </w:rPr>
        <w:t>单项标的</w:t>
      </w:r>
      <w:r>
        <w:rPr>
          <w:rFonts w:hint="default" w:ascii="Times New Roman" w:hAnsi="Times New Roman" w:cs="Times New Roman"/>
          <w:lang w:val="en-US" w:eastAsia="zh-CN"/>
        </w:rPr>
        <w:t>审计</w:t>
      </w:r>
      <w:r>
        <w:rPr>
          <w:rFonts w:hint="default" w:ascii="Times New Roman" w:hAnsi="Times New Roman" w:eastAsia="仿宋_GB2312" w:cs="Times New Roman"/>
        </w:rPr>
        <w:t>账面价值或评估值</w:t>
      </w:r>
      <w:r>
        <w:rPr>
          <w:rFonts w:hint="default" w:ascii="Times New Roman" w:hAnsi="Times New Roman" w:cs="Times New Roman"/>
          <w:lang w:val="en-US" w:eastAsia="zh-CN"/>
        </w:rPr>
        <w:t>3000万元</w:t>
      </w:r>
      <w:r>
        <w:rPr>
          <w:rFonts w:hint="default" w:ascii="Times New Roman" w:hAnsi="Times New Roman" w:eastAsia="仿宋_GB2312" w:cs="Times New Roman"/>
        </w:rPr>
        <w:t>（含）以上</w:t>
      </w:r>
      <w:r>
        <w:rPr>
          <w:rFonts w:hint="default" w:ascii="Times New Roman" w:hAnsi="Times New Roman" w:cs="Times New Roman"/>
          <w:lang w:val="en-US" w:eastAsia="zh-CN"/>
        </w:rPr>
        <w:t>的</w:t>
      </w:r>
      <w:r>
        <w:rPr>
          <w:rFonts w:hint="eastAsia" w:ascii="Times New Roman" w:hAnsi="Times New Roman" w:cs="Times New Roman"/>
          <w:lang w:val="en-US" w:eastAsia="zh-CN"/>
        </w:rPr>
        <w:t>市属国有企业及子</w:t>
      </w:r>
      <w:r>
        <w:rPr>
          <w:rFonts w:hint="default" w:ascii="Times New Roman" w:hAnsi="Times New Roman" w:cs="Times New Roman"/>
          <w:lang w:val="en-US" w:eastAsia="zh-CN"/>
        </w:rPr>
        <w:t>企业</w:t>
      </w:r>
      <w:r>
        <w:rPr>
          <w:rFonts w:hint="eastAsia" w:ascii="Times New Roman" w:cs="Times New Roman"/>
          <w:lang w:val="en-US" w:eastAsia="zh-CN"/>
        </w:rPr>
        <w:t>的</w:t>
      </w:r>
      <w:r>
        <w:rPr>
          <w:rFonts w:hint="default" w:ascii="Times New Roman" w:hAnsi="Times New Roman" w:eastAsia="仿宋_GB2312" w:cs="Times New Roman"/>
          <w:lang w:val="en-US" w:eastAsia="zh-CN"/>
        </w:rPr>
        <w:t>产权</w:t>
      </w:r>
      <w:r>
        <w:rPr>
          <w:rFonts w:hint="eastAsia" w:ascii="Times New Roman" w:cs="Times New Roman"/>
          <w:lang w:val="en-US" w:eastAsia="zh-CN"/>
        </w:rPr>
        <w:t>或</w:t>
      </w:r>
      <w:r>
        <w:rPr>
          <w:rFonts w:hint="default" w:ascii="Times New Roman" w:hAnsi="Times New Roman" w:eastAsia="仿宋_GB2312" w:cs="Times New Roman"/>
          <w:lang w:val="en-US" w:eastAsia="zh-CN"/>
        </w:rPr>
        <w:t>资产转让</w:t>
      </w:r>
      <w:r>
        <w:rPr>
          <w:rFonts w:hint="eastAsia" w:ascii="Times New Roman" w:cs="Times New Roman"/>
          <w:lang w:val="en-US" w:eastAsia="zh-CN"/>
        </w:rPr>
        <w:t>，上报投委会决策及审批；</w:t>
      </w:r>
      <w:r>
        <w:rPr>
          <w:rFonts w:hint="default" w:ascii="Times New Roman" w:hAnsi="Times New Roman" w:eastAsia="仿宋_GB2312" w:cs="Times New Roman"/>
        </w:rPr>
        <w:t>单项标的</w:t>
      </w:r>
      <w:r>
        <w:rPr>
          <w:rFonts w:hint="default" w:ascii="Times New Roman" w:hAnsi="Times New Roman" w:cs="Times New Roman"/>
          <w:lang w:val="en-US" w:eastAsia="zh-CN"/>
        </w:rPr>
        <w:t>审计</w:t>
      </w:r>
      <w:r>
        <w:rPr>
          <w:rFonts w:hint="default" w:ascii="Times New Roman" w:hAnsi="Times New Roman" w:eastAsia="仿宋_GB2312" w:cs="Times New Roman"/>
        </w:rPr>
        <w:t>账面价值或评估值</w:t>
      </w:r>
      <w:r>
        <w:rPr>
          <w:rFonts w:hint="default" w:ascii="Times New Roman" w:hAnsi="Times New Roman" w:cs="Times New Roman"/>
          <w:lang w:val="en-US" w:eastAsia="zh-CN"/>
        </w:rPr>
        <w:t>3000万元</w:t>
      </w:r>
      <w:r>
        <w:rPr>
          <w:rFonts w:hint="eastAsia" w:ascii="Times New Roman" w:cs="Times New Roman"/>
          <w:lang w:val="en-US" w:eastAsia="zh-CN"/>
        </w:rPr>
        <w:t>以下</w:t>
      </w:r>
      <w:r>
        <w:rPr>
          <w:rFonts w:hint="default" w:ascii="Times New Roman" w:hAnsi="Times New Roman" w:cs="Times New Roman"/>
          <w:lang w:val="en-US" w:eastAsia="zh-CN"/>
        </w:rPr>
        <w:t>的</w:t>
      </w:r>
      <w:r>
        <w:rPr>
          <w:rFonts w:hint="eastAsia" w:ascii="Times New Roman" w:hAnsi="Times New Roman" w:cs="Times New Roman"/>
          <w:lang w:val="en-US" w:eastAsia="zh-CN"/>
        </w:rPr>
        <w:t>市属国有企业及子</w:t>
      </w:r>
      <w:r>
        <w:rPr>
          <w:rFonts w:hint="default" w:ascii="Times New Roman" w:hAnsi="Times New Roman" w:cs="Times New Roman"/>
          <w:lang w:val="en-US" w:eastAsia="zh-CN"/>
        </w:rPr>
        <w:t>企业</w:t>
      </w:r>
      <w:r>
        <w:rPr>
          <w:rFonts w:hint="default" w:ascii="Times New Roman" w:hAnsi="Times New Roman" w:eastAsia="仿宋_GB2312" w:cs="Times New Roman"/>
          <w:lang w:val="en-US" w:eastAsia="zh-CN"/>
        </w:rPr>
        <w:t>产权</w:t>
      </w:r>
      <w:r>
        <w:rPr>
          <w:rFonts w:hint="eastAsia" w:ascii="Times New Roman" w:cs="Times New Roman"/>
          <w:lang w:val="en-US" w:eastAsia="zh-CN"/>
        </w:rPr>
        <w:t>或</w:t>
      </w:r>
      <w:r>
        <w:rPr>
          <w:rFonts w:hint="default" w:ascii="Times New Roman" w:hAnsi="Times New Roman" w:eastAsia="仿宋_GB2312" w:cs="Times New Roman"/>
          <w:lang w:val="en-US" w:eastAsia="zh-CN"/>
        </w:rPr>
        <w:t>资产转让</w:t>
      </w:r>
      <w:r>
        <w:rPr>
          <w:rFonts w:hint="eastAsia" w:ascii="Times New Roman" w:cs="Times New Roman"/>
          <w:lang w:val="en-US" w:eastAsia="zh-CN"/>
        </w:rPr>
        <w:t>，由市属国有企业根据相关规定决策及审批，其中</w:t>
      </w:r>
      <w:r>
        <w:rPr>
          <w:rFonts w:hint="eastAsia" w:cs="仿宋_GB2312"/>
        </w:rPr>
        <w:t>因上述行为致使</w:t>
      </w:r>
      <w:r>
        <w:rPr>
          <w:rFonts w:hint="eastAsia" w:cs="仿宋_GB2312"/>
          <w:lang w:val="en-US" w:eastAsia="zh-CN"/>
        </w:rPr>
        <w:t>市级</w:t>
      </w:r>
      <w:r>
        <w:rPr>
          <w:rFonts w:hint="default" w:ascii="Times New Roman" w:hAnsi="Times New Roman" w:cs="Times New Roman"/>
          <w:kern w:val="0"/>
          <w:lang w:val="en-US" w:eastAsia="zh-CN"/>
        </w:rPr>
        <w:t>失去</w:t>
      </w:r>
      <w:r>
        <w:rPr>
          <w:rFonts w:hint="default" w:ascii="Times New Roman" w:hAnsi="Times New Roman" w:cs="Times New Roman"/>
          <w:kern w:val="0"/>
        </w:rPr>
        <w:t>控制权的</w:t>
      </w:r>
      <w:r>
        <w:rPr>
          <w:rFonts w:hint="default" w:ascii="Times New Roman" w:hAnsi="Times New Roman" w:cs="Times New Roman"/>
          <w:kern w:val="0"/>
          <w:lang w:val="en-US" w:eastAsia="zh-CN"/>
        </w:rPr>
        <w:t>产权</w:t>
      </w:r>
      <w:r>
        <w:rPr>
          <w:rFonts w:hint="eastAsia" w:ascii="Times New Roman" w:cs="Times New Roman"/>
          <w:kern w:val="0"/>
          <w:lang w:val="en-US" w:eastAsia="zh-CN"/>
        </w:rPr>
        <w:t>转让，上报投委会决策及审批。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cs="Times New Roman"/>
          <w:lang w:val="en-US" w:eastAsia="zh-CN"/>
        </w:rPr>
      </w:pPr>
      <w:r>
        <w:rPr>
          <w:rFonts w:hint="eastAsia" w:ascii="Times New Roman" w:cs="Times New Roman"/>
          <w:lang w:val="en-US" w:eastAsia="zh-CN"/>
        </w:rPr>
        <w:t>（二）非公开协议转让：市属国有企业及子企业在各级国有企业</w:t>
      </w:r>
      <w:r>
        <w:rPr>
          <w:rFonts w:hint="default" w:ascii="Times New Roman" w:hAnsi="Times New Roman" w:eastAsia="仿宋_GB2312" w:cs="Times New Roman"/>
          <w:lang w:val="en-US" w:eastAsia="zh-CN"/>
        </w:rPr>
        <w:t>之间</w:t>
      </w:r>
      <w:r>
        <w:rPr>
          <w:rFonts w:hint="eastAsia" w:ascii="Times New Roman" w:cs="Times New Roman"/>
          <w:lang w:val="en-US" w:eastAsia="zh-CN"/>
        </w:rPr>
        <w:t>的产权转让、市属国有企业在各级国有企业之间的资产转让、子企业在各级</w:t>
      </w:r>
      <w:r>
        <w:rPr>
          <w:rFonts w:hint="eastAsia" w:ascii="Times New Roman" w:hAnsi="Times New Roman" w:cs="Times New Roman"/>
          <w:kern w:val="0"/>
          <w:lang w:val="en-US" w:eastAsia="zh-CN"/>
        </w:rPr>
        <w:t>国有企业之间</w:t>
      </w:r>
      <w:r>
        <w:rPr>
          <w:rFonts w:hint="eastAsia" w:ascii="Times New Roman" w:cs="Times New Roman"/>
          <w:kern w:val="0"/>
          <w:lang w:val="en-US" w:eastAsia="zh-CN"/>
        </w:rPr>
        <w:t>的</w:t>
      </w:r>
      <w:r>
        <w:rPr>
          <w:rFonts w:hint="default" w:ascii="Times New Roman" w:hAnsi="Times New Roman" w:eastAsia="仿宋_GB2312" w:cs="Times New Roman"/>
        </w:rPr>
        <w:t>单项标的</w:t>
      </w:r>
      <w:r>
        <w:rPr>
          <w:rFonts w:hint="eastAsia" w:ascii="Times New Roman" w:cs="Times New Roman"/>
          <w:kern w:val="0"/>
          <w:lang w:val="en-US" w:eastAsia="zh-CN"/>
        </w:rPr>
        <w:t>审计账面价值或评估值3000万元（含）以上的资产转让，</w:t>
      </w:r>
      <w:r>
        <w:rPr>
          <w:rFonts w:hint="eastAsia" w:ascii="Times New Roman" w:cs="Times New Roman"/>
          <w:lang w:val="en-US" w:eastAsia="zh-CN"/>
        </w:rPr>
        <w:t>上报投委会决策及审批；子企业在各级</w:t>
      </w:r>
      <w:r>
        <w:rPr>
          <w:rFonts w:hint="eastAsia" w:ascii="Times New Roman" w:hAnsi="Times New Roman" w:cs="Times New Roman"/>
          <w:kern w:val="0"/>
          <w:lang w:val="en-US" w:eastAsia="zh-CN"/>
        </w:rPr>
        <w:t>国有企业之间</w:t>
      </w:r>
      <w:r>
        <w:rPr>
          <w:rFonts w:hint="eastAsia" w:ascii="Times New Roman" w:cs="Times New Roman"/>
          <w:kern w:val="0"/>
          <w:lang w:val="en-US" w:eastAsia="zh-CN"/>
        </w:rPr>
        <w:t>的</w:t>
      </w:r>
      <w:r>
        <w:rPr>
          <w:rFonts w:hint="default" w:ascii="Times New Roman" w:hAnsi="Times New Roman" w:eastAsia="仿宋_GB2312" w:cs="Times New Roman"/>
        </w:rPr>
        <w:t>单项标的</w:t>
      </w:r>
      <w:r>
        <w:rPr>
          <w:rFonts w:hint="eastAsia" w:ascii="Times New Roman" w:cs="Times New Roman"/>
          <w:kern w:val="0"/>
          <w:lang w:val="en-US" w:eastAsia="zh-CN"/>
        </w:rPr>
        <w:t>审计账面价值或评估值3000万元以下的资产转让，</w:t>
      </w:r>
      <w:r>
        <w:rPr>
          <w:rFonts w:hint="eastAsia" w:ascii="Times New Roman" w:cs="Times New Roman"/>
          <w:lang w:val="en-US" w:eastAsia="zh-CN"/>
        </w:rPr>
        <w:t>由市属国有企业根据相关规定决策及审批。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cs="Times New Roman"/>
          <w:kern w:val="0"/>
          <w:lang w:val="en-US" w:eastAsia="zh-CN"/>
        </w:rPr>
      </w:pPr>
      <w:r>
        <w:rPr>
          <w:rFonts w:hint="eastAsia" w:ascii="Times New Roman" w:cs="Times New Roman"/>
          <w:lang w:val="en-US" w:eastAsia="zh-CN"/>
        </w:rPr>
        <w:t>（三）无偿划转：</w:t>
      </w:r>
      <w:r>
        <w:rPr>
          <w:rFonts w:hint="eastAsia" w:ascii="Times New Roman" w:hAnsi="Times New Roman" w:cs="Times New Roman"/>
          <w:kern w:val="0"/>
          <w:lang w:val="en-US" w:eastAsia="zh-CN"/>
        </w:rPr>
        <w:t>市属国有企业在各级国有企业之间无偿划转产权</w:t>
      </w:r>
      <w:r>
        <w:rPr>
          <w:rFonts w:hint="eastAsia" w:ascii="Times New Roman" w:cs="Times New Roman"/>
          <w:kern w:val="0"/>
          <w:lang w:val="en-US" w:eastAsia="zh-CN"/>
        </w:rPr>
        <w:t>或</w:t>
      </w:r>
      <w:r>
        <w:rPr>
          <w:rFonts w:hint="eastAsia" w:ascii="Times New Roman" w:hAnsi="Times New Roman" w:cs="Times New Roman"/>
          <w:kern w:val="0"/>
          <w:lang w:val="en-US" w:eastAsia="zh-CN"/>
        </w:rPr>
        <w:t>资产</w:t>
      </w:r>
      <w:r>
        <w:rPr>
          <w:rFonts w:hint="eastAsia" w:ascii="Times New Roman" w:cs="Times New Roman"/>
          <w:kern w:val="0"/>
          <w:lang w:val="en-US" w:eastAsia="zh-CN"/>
        </w:rPr>
        <w:t>、子企业不在同一出资企业内部无偿划转产权或资产，上报投委会决策及审批；子企业在所出资企业内部无偿划转</w:t>
      </w:r>
      <w:r>
        <w:rPr>
          <w:rFonts w:hint="eastAsia" w:ascii="Times New Roman" w:hAnsi="Times New Roman" w:cs="Times New Roman"/>
          <w:kern w:val="0"/>
          <w:lang w:val="en-US" w:eastAsia="zh-CN"/>
        </w:rPr>
        <w:t>产权</w:t>
      </w:r>
      <w:r>
        <w:rPr>
          <w:rFonts w:hint="eastAsia" w:ascii="Times New Roman" w:cs="Times New Roman"/>
          <w:kern w:val="0"/>
          <w:lang w:val="en-US" w:eastAsia="zh-CN"/>
        </w:rPr>
        <w:t>或</w:t>
      </w:r>
      <w:r>
        <w:rPr>
          <w:rFonts w:hint="eastAsia" w:ascii="Times New Roman" w:hAnsi="Times New Roman" w:cs="Times New Roman"/>
          <w:kern w:val="0"/>
          <w:lang w:val="en-US" w:eastAsia="zh-CN"/>
        </w:rPr>
        <w:t>资产</w:t>
      </w:r>
      <w:r>
        <w:rPr>
          <w:rFonts w:hint="eastAsia" w:ascii="Times New Roman" w:cs="Times New Roman"/>
          <w:kern w:val="0"/>
          <w:lang w:val="en-US" w:eastAsia="zh-CN"/>
        </w:rPr>
        <w:t>，</w:t>
      </w:r>
      <w:r>
        <w:rPr>
          <w:rFonts w:hint="eastAsia" w:ascii="Times New Roman" w:cs="Times New Roman"/>
          <w:lang w:val="en-US" w:eastAsia="zh-CN"/>
        </w:rPr>
        <w:t>由市属国有企业根据相关规定决策及审批。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lang w:val="en-US" w:eastAsia="zh-CN"/>
        </w:rPr>
      </w:pPr>
      <w:r>
        <w:rPr>
          <w:rFonts w:hint="eastAsia" w:ascii="Times New Roman" w:cs="Times New Roman"/>
          <w:kern w:val="0"/>
          <w:lang w:val="en-US" w:eastAsia="zh-CN"/>
        </w:rPr>
        <w:t>上述产权转让事项致使市级</w:t>
      </w:r>
      <w:r>
        <w:rPr>
          <w:rFonts w:hint="default" w:ascii="Times New Roman" w:hAnsi="Times New Roman" w:cs="Times New Roman"/>
          <w:kern w:val="0"/>
          <w:lang w:val="en-US" w:eastAsia="zh-CN"/>
        </w:rPr>
        <w:t>失去市属国有企业控制权的经投委会审议后报市政府批准</w:t>
      </w:r>
      <w:r>
        <w:rPr>
          <w:rFonts w:hint="eastAsia" w:ascii="Times New Roman" w:cs="Times New Roman"/>
          <w:kern w:val="0"/>
          <w:lang w:val="en-US" w:eastAsia="zh-CN"/>
        </w:rPr>
        <w:t>。</w:t>
      </w:r>
    </w:p>
    <w:p>
      <w:pPr>
        <w:keepNext w:val="0"/>
        <w:keepLines w:val="0"/>
        <w:pageBreakBefore w:val="0"/>
        <w:kinsoku/>
        <w:wordWrap/>
        <w:overflowPunct/>
        <w:topLinePunct w:val="0"/>
        <w:autoSpaceDE/>
        <w:autoSpaceDN/>
        <w:bidi w:val="0"/>
        <w:adjustRightInd/>
        <w:snapToGrid/>
        <w:spacing w:line="560" w:lineRule="exact"/>
        <w:ind w:firstLine="647"/>
        <w:textAlignment w:val="auto"/>
        <w:rPr>
          <w:rFonts w:hint="default"/>
          <w:lang w:val="en-US" w:eastAsia="zh-CN"/>
        </w:rPr>
      </w:pPr>
      <w:r>
        <w:rPr>
          <w:rFonts w:hint="eastAsia" w:ascii="黑体" w:hAnsi="黑体" w:eastAsia="黑体" w:cs="黑体"/>
          <w:i w:val="0"/>
          <w:iCs w:val="0"/>
          <w:caps w:val="0"/>
          <w:color w:val="000000"/>
          <w:spacing w:val="0"/>
          <w:sz w:val="32"/>
          <w:szCs w:val="32"/>
          <w:shd w:val="clear" w:color="auto" w:fill="auto"/>
          <w:lang w:val="en-US" w:eastAsia="zh-CN"/>
        </w:rPr>
        <w:t>第七条</w:t>
      </w:r>
      <w:r>
        <w:rPr>
          <w:rFonts w:hint="eastAsia" w:hAnsi="仿宋_GB2312" w:cs="仿宋_GB2312"/>
          <w:i w:val="0"/>
          <w:iCs w:val="0"/>
          <w:caps w:val="0"/>
          <w:color w:val="000000"/>
          <w:spacing w:val="0"/>
          <w:sz w:val="32"/>
          <w:szCs w:val="32"/>
          <w:shd w:val="clear" w:color="auto" w:fill="auto"/>
          <w:lang w:val="en-US" w:eastAsia="zh-CN"/>
        </w:rPr>
        <w:t xml:space="preserve"> </w:t>
      </w:r>
      <w:r>
        <w:rPr>
          <w:rFonts w:hint="eastAsia" w:ascii="仿宋_GB2312" w:hAnsi="仿宋_GB2312" w:eastAsia="仿宋_GB2312" w:cs="仿宋_GB2312"/>
          <w:i w:val="0"/>
          <w:iCs w:val="0"/>
          <w:caps w:val="0"/>
          <w:color w:val="000000"/>
          <w:spacing w:val="0"/>
          <w:sz w:val="32"/>
          <w:szCs w:val="32"/>
          <w:shd w:val="clear" w:color="auto" w:fill="auto"/>
          <w:lang w:val="en-US" w:eastAsia="zh-CN"/>
        </w:rPr>
        <w:t>投委会认为有必要提交市政府决策的资产交易事项，按照相关规定</w:t>
      </w:r>
      <w:r>
        <w:rPr>
          <w:rFonts w:hint="eastAsia" w:hAnsi="仿宋_GB2312" w:cs="仿宋_GB2312"/>
          <w:i w:val="0"/>
          <w:iCs w:val="0"/>
          <w:caps w:val="0"/>
          <w:color w:val="000000"/>
          <w:spacing w:val="0"/>
          <w:sz w:val="32"/>
          <w:szCs w:val="32"/>
          <w:shd w:val="clear" w:color="auto" w:fill="auto"/>
          <w:lang w:val="en-US" w:eastAsia="zh-CN"/>
        </w:rPr>
        <w:t>上报市政府进行审议决策。</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lang w:val="en-US" w:eastAsia="zh-CN"/>
        </w:rPr>
      </w:pPr>
      <w:r>
        <w:rPr>
          <w:rFonts w:hint="eastAsia" w:ascii="黑体" w:hAnsi="黑体" w:eastAsia="黑体" w:cs="黑体"/>
          <w:lang w:val="en-US" w:eastAsia="zh-CN"/>
        </w:rPr>
        <w:t>第四章  资产交易价格确认</w:t>
      </w:r>
    </w:p>
    <w:p>
      <w:pPr>
        <w:keepNext w:val="0"/>
        <w:keepLines w:val="0"/>
        <w:pageBreakBefore w:val="0"/>
        <w:kinsoku/>
        <w:wordWrap/>
        <w:overflowPunct/>
        <w:topLinePunct w:val="0"/>
        <w:autoSpaceDE/>
        <w:autoSpaceDN/>
        <w:bidi w:val="0"/>
        <w:adjustRightInd/>
        <w:snapToGrid/>
        <w:spacing w:line="560" w:lineRule="exact"/>
        <w:ind w:firstLine="630"/>
        <w:textAlignment w:val="auto"/>
        <w:rPr>
          <w:rFonts w:hint="eastAsia" w:ascii="黑体" w:hAnsi="黑体" w:eastAsia="黑体" w:cs="黑体"/>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hAnsi="仿宋_GB2312" w:cs="仿宋_GB2312"/>
          <w:lang w:val="en-US" w:eastAsia="zh-CN"/>
        </w:rPr>
      </w:pPr>
      <w:r>
        <w:rPr>
          <w:rFonts w:hint="eastAsia" w:ascii="黑体" w:hAnsi="黑体" w:eastAsia="黑体" w:cs="黑体"/>
          <w:lang w:val="en-US" w:eastAsia="zh-CN"/>
        </w:rPr>
        <w:t>第八条</w:t>
      </w:r>
      <w:r>
        <w:rPr>
          <w:rFonts w:hint="eastAsia" w:ascii="Times New Roman" w:cs="Times New Roman"/>
          <w:lang w:val="en-US" w:eastAsia="zh-CN"/>
        </w:rPr>
        <w:t xml:space="preserve"> </w:t>
      </w:r>
      <w:r>
        <w:rPr>
          <w:rFonts w:hint="default" w:ascii="Times New Roman" w:hAnsi="Times New Roman" w:cs="Times New Roman"/>
        </w:rPr>
        <w:t>市属国有企业及子企业资产交易</w:t>
      </w:r>
      <w:r>
        <w:rPr>
          <w:rFonts w:hint="eastAsia" w:ascii="Times New Roman" w:cs="Times New Roman"/>
          <w:lang w:val="en-US" w:eastAsia="zh-CN"/>
        </w:rPr>
        <w:t>需确定合理的交易价格。资产交易事项</w:t>
      </w:r>
      <w:r>
        <w:rPr>
          <w:rFonts w:hint="eastAsia" w:hAnsi="仿宋_GB2312" w:cs="仿宋_GB2312"/>
          <w:lang w:val="en-US" w:eastAsia="zh-CN"/>
        </w:rPr>
        <w:t>经批准后，由转让方委托会计师事务所及具有相应资质的评估机构对转让标的进行审计评估，对按照有关法律法规要求必须进行评估的资产交易事项，</w:t>
      </w:r>
      <w:r>
        <w:rPr>
          <w:rFonts w:hint="eastAsia" w:ascii="Times New Roman" w:cs="Times New Roman"/>
          <w:lang w:val="en-US" w:eastAsia="zh-CN"/>
        </w:rPr>
        <w:t>要实行资产评估</w:t>
      </w:r>
      <w:r>
        <w:rPr>
          <w:rFonts w:hint="eastAsia" w:hAnsi="仿宋_GB2312" w:cs="仿宋_GB2312"/>
          <w:lang w:val="en-US" w:eastAsia="zh-CN"/>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firstLineChars="200"/>
        <w:textAlignment w:val="auto"/>
        <w:rPr>
          <w:rFonts w:hint="eastAsia" w:hAnsi="仿宋_GB2312" w:cs="仿宋_GB2312"/>
          <w:lang w:val="en-US" w:eastAsia="zh-CN"/>
        </w:rPr>
      </w:pPr>
      <w:r>
        <w:rPr>
          <w:rFonts w:hint="eastAsia" w:ascii="黑体" w:hAnsi="黑体" w:eastAsia="黑体" w:cs="黑体"/>
          <w:kern w:val="2"/>
          <w:sz w:val="32"/>
          <w:szCs w:val="32"/>
          <w:lang w:val="en-US" w:eastAsia="zh-CN" w:bidi="ar-SA"/>
        </w:rPr>
        <w:t>第九条</w:t>
      </w:r>
      <w:r>
        <w:rPr>
          <w:rFonts w:hint="eastAsia" w:hAnsi="仿宋_GB2312" w:cs="仿宋_GB2312"/>
          <w:kern w:val="2"/>
          <w:sz w:val="32"/>
          <w:szCs w:val="32"/>
          <w:lang w:val="en-US" w:eastAsia="zh-CN" w:bidi="ar-SA"/>
        </w:rPr>
        <w:t xml:space="preserve"> </w:t>
      </w:r>
      <w:r>
        <w:rPr>
          <w:rFonts w:hint="default" w:ascii="仿宋_GB2312" w:hAnsi="仿宋_GB2312" w:eastAsia="仿宋_GB2312" w:cs="仿宋_GB2312"/>
          <w:kern w:val="2"/>
          <w:sz w:val="32"/>
          <w:szCs w:val="32"/>
          <w:lang w:val="en-US" w:eastAsia="zh-CN" w:bidi="ar-SA"/>
        </w:rPr>
        <w:t>采取非公开协议方式转让企业产权</w:t>
      </w:r>
      <w:r>
        <w:rPr>
          <w:rFonts w:hint="eastAsia" w:hAnsi="仿宋_GB2312" w:cs="仿宋_GB2312"/>
          <w:kern w:val="2"/>
          <w:sz w:val="32"/>
          <w:szCs w:val="32"/>
          <w:lang w:val="en-US" w:eastAsia="zh-CN" w:bidi="ar-SA"/>
        </w:rPr>
        <w:t>及资产的</w:t>
      </w:r>
      <w:r>
        <w:rPr>
          <w:rFonts w:hint="default" w:ascii="仿宋_GB2312" w:hAnsi="仿宋_GB2312" w:eastAsia="仿宋_GB2312" w:cs="仿宋_GB2312"/>
          <w:kern w:val="2"/>
          <w:sz w:val="32"/>
          <w:szCs w:val="32"/>
          <w:lang w:val="en-US" w:eastAsia="zh-CN" w:bidi="ar-SA"/>
        </w:rPr>
        <w:t>，转让方、受让方均为国有</w:t>
      </w:r>
      <w:r>
        <w:rPr>
          <w:rFonts w:hint="eastAsia" w:hAnsi="仿宋_GB2312" w:cs="仿宋_GB2312"/>
          <w:kern w:val="2"/>
          <w:sz w:val="32"/>
          <w:szCs w:val="32"/>
          <w:lang w:val="en-US" w:eastAsia="zh-CN" w:bidi="ar-SA"/>
        </w:rPr>
        <w:t>独资或全资</w:t>
      </w:r>
      <w:r>
        <w:rPr>
          <w:rFonts w:hint="default" w:ascii="仿宋_GB2312" w:hAnsi="仿宋_GB2312" w:eastAsia="仿宋_GB2312" w:cs="仿宋_GB2312"/>
          <w:kern w:val="2"/>
          <w:sz w:val="32"/>
          <w:szCs w:val="32"/>
          <w:lang w:val="en-US" w:eastAsia="zh-CN" w:bidi="ar-SA"/>
        </w:rPr>
        <w:t>企业的，按照《中华人民共和国公司法》</w:t>
      </w:r>
      <w:r>
        <w:rPr>
          <w:rFonts w:hint="eastAsia" w:hAnsi="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企业章程履行决策程序后，转让价格可以资产评估报告或最近一期审计报告确认的净资产值为基础确定。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cs="Times New Roman"/>
          <w:lang w:val="en-US" w:eastAsia="zh-CN"/>
        </w:rPr>
      </w:pPr>
      <w:r>
        <w:rPr>
          <w:rFonts w:hint="eastAsia" w:ascii="黑体" w:hAnsi="黑体" w:eastAsia="黑体" w:cs="黑体"/>
          <w:lang w:val="en-US" w:eastAsia="zh-CN"/>
        </w:rPr>
        <w:t>第十条</w:t>
      </w:r>
      <w:r>
        <w:rPr>
          <w:rFonts w:hint="eastAsia" w:ascii="Times New Roman" w:cs="Times New Roman"/>
          <w:lang w:val="en-US" w:eastAsia="zh-CN"/>
        </w:rPr>
        <w:t xml:space="preserve"> 资产评估</w:t>
      </w:r>
      <w:r>
        <w:rPr>
          <w:rFonts w:hint="default" w:ascii="Times New Roman" w:hAnsi="Times New Roman" w:cs="Times New Roman"/>
        </w:rPr>
        <w:t>实行分级管理</w:t>
      </w:r>
      <w:r>
        <w:rPr>
          <w:rFonts w:hint="eastAsia" w:ascii="Times New Roman" w:cs="Times New Roman"/>
          <w:lang w:eastAsia="zh-CN"/>
        </w:rPr>
        <w:t>。</w:t>
      </w:r>
      <w:r>
        <w:rPr>
          <w:rFonts w:hint="eastAsia" w:ascii="Times New Roman" w:cs="Times New Roman"/>
          <w:lang w:val="en-US" w:eastAsia="zh-CN"/>
        </w:rPr>
        <w:t>资产交易事项由</w:t>
      </w:r>
      <w:r>
        <w:rPr>
          <w:rFonts w:hint="default" w:ascii="Times New Roman" w:hAnsi="Times New Roman" w:cs="Times New Roman"/>
          <w:highlight w:val="none"/>
        </w:rPr>
        <w:t>市政府</w:t>
      </w:r>
      <w:r>
        <w:rPr>
          <w:rFonts w:hint="eastAsia" w:ascii="Times New Roman" w:cs="Times New Roman"/>
          <w:highlight w:val="none"/>
          <w:lang w:val="en-US" w:eastAsia="zh-CN"/>
        </w:rPr>
        <w:t>或投委会</w:t>
      </w:r>
      <w:r>
        <w:rPr>
          <w:rFonts w:hint="default" w:ascii="Times New Roman" w:hAnsi="Times New Roman" w:cs="Times New Roman"/>
        </w:rPr>
        <w:t>审批的，资产评估项目报</w:t>
      </w:r>
      <w:r>
        <w:rPr>
          <w:rFonts w:hint="eastAsia" w:ascii="Times New Roman" w:cs="Times New Roman"/>
          <w:lang w:val="en-US" w:eastAsia="zh-CN"/>
        </w:rPr>
        <w:t>太仓市国有资产运行服务中心（以下简称“市国资运服中心”）</w:t>
      </w:r>
      <w:r>
        <w:rPr>
          <w:rFonts w:hint="default" w:ascii="Times New Roman" w:hAnsi="Times New Roman" w:cs="Times New Roman"/>
        </w:rPr>
        <w:t>备案；其他</w:t>
      </w:r>
      <w:r>
        <w:rPr>
          <w:rFonts w:hint="eastAsia" w:ascii="Times New Roman" w:cs="Times New Roman"/>
          <w:lang w:val="en-US" w:eastAsia="zh-CN"/>
        </w:rPr>
        <w:t>资产交易事项的</w:t>
      </w:r>
      <w:r>
        <w:rPr>
          <w:rFonts w:hint="default" w:ascii="Times New Roman" w:hAnsi="Times New Roman" w:cs="Times New Roman"/>
        </w:rPr>
        <w:t>资产评估项目由市属国有企业审核备案</w:t>
      </w:r>
      <w:r>
        <w:rPr>
          <w:rFonts w:hint="eastAsia" w:ascii="Times New Roman" w:hAnsi="Times New Roman" w:cs="Times New Roman"/>
          <w:lang w:val="en-US" w:eastAsia="zh-CN"/>
        </w:rPr>
        <w:t>。</w:t>
      </w:r>
    </w:p>
    <w:p>
      <w:pPr>
        <w:keepNext w:val="0"/>
        <w:keepLines w:val="0"/>
        <w:pageBreakBefore w:val="0"/>
        <w:kinsoku/>
        <w:wordWrap/>
        <w:overflowPunct/>
        <w:topLinePunct w:val="0"/>
        <w:autoSpaceDE/>
        <w:autoSpaceDN/>
        <w:bidi w:val="0"/>
        <w:adjustRightInd/>
        <w:snapToGrid/>
        <w:spacing w:line="560" w:lineRule="exact"/>
        <w:ind w:firstLine="630"/>
        <w:textAlignment w:val="auto"/>
        <w:rPr>
          <w:rFonts w:hint="eastAsia" w:ascii="Times New Roman" w:cs="Times New Roman"/>
          <w:lang w:eastAsia="zh-CN"/>
        </w:rPr>
      </w:pPr>
      <w:r>
        <w:rPr>
          <w:rFonts w:hint="eastAsia" w:ascii="黑体" w:hAnsi="黑体" w:eastAsia="黑体" w:cs="黑体"/>
          <w:lang w:val="en-US" w:eastAsia="zh-CN"/>
        </w:rPr>
        <w:t>第十一条</w:t>
      </w:r>
      <w:r>
        <w:rPr>
          <w:rFonts w:hint="eastAsia" w:ascii="Times New Roman" w:cs="Times New Roman"/>
          <w:lang w:val="en-US" w:eastAsia="zh-CN"/>
        </w:rPr>
        <w:t xml:space="preserve"> </w:t>
      </w:r>
      <w:r>
        <w:rPr>
          <w:rFonts w:hint="default" w:ascii="Times New Roman" w:hAnsi="Times New Roman" w:cs="Times New Roman"/>
        </w:rPr>
        <w:t>市属国有企业应依照</w:t>
      </w:r>
      <w:r>
        <w:rPr>
          <w:rFonts w:hint="eastAsia" w:ascii="Times New Roman" w:cs="Times New Roman"/>
          <w:lang w:val="en-US" w:eastAsia="zh-CN"/>
        </w:rPr>
        <w:t>相关</w:t>
      </w:r>
      <w:r>
        <w:rPr>
          <w:rFonts w:hint="default" w:ascii="Times New Roman" w:hAnsi="Times New Roman" w:cs="Times New Roman"/>
        </w:rPr>
        <w:t>文件规定，严格履行资产评估项目</w:t>
      </w:r>
      <w:r>
        <w:rPr>
          <w:rFonts w:hint="eastAsia" w:ascii="Times New Roman" w:cs="Times New Roman"/>
          <w:lang w:val="en-US" w:eastAsia="zh-CN"/>
        </w:rPr>
        <w:t>相关</w:t>
      </w:r>
      <w:r>
        <w:rPr>
          <w:rFonts w:hint="default" w:ascii="Times New Roman" w:hAnsi="Times New Roman" w:cs="Times New Roman"/>
        </w:rPr>
        <w:t>程序，执行资产评估项目内部公示制度，加强对相关资产评估报告的审核，提高工作质量</w:t>
      </w:r>
      <w:r>
        <w:rPr>
          <w:rFonts w:hint="eastAsia" w:ascii="Times New Roman" w:cs="Times New Roman"/>
          <w:lang w:eastAsia="zh-CN"/>
        </w:rPr>
        <w:t>。</w:t>
      </w:r>
    </w:p>
    <w:p>
      <w:pPr>
        <w:keepNext w:val="0"/>
        <w:keepLines w:val="0"/>
        <w:pageBreakBefore w:val="0"/>
        <w:kinsoku/>
        <w:wordWrap/>
        <w:overflowPunct/>
        <w:topLinePunct w:val="0"/>
        <w:autoSpaceDE/>
        <w:autoSpaceDN/>
        <w:bidi w:val="0"/>
        <w:adjustRightInd/>
        <w:snapToGrid/>
        <w:spacing w:line="560" w:lineRule="exact"/>
        <w:ind w:firstLine="630"/>
        <w:textAlignment w:val="auto"/>
        <w:rPr>
          <w:rFonts w:hint="eastAsia" w:ascii="Times New Roman" w:cs="Times New Roman"/>
          <w:lang w:val="en-US" w:eastAsia="zh-CN"/>
        </w:rPr>
      </w:pPr>
      <w:r>
        <w:rPr>
          <w:rFonts w:hint="eastAsia" w:ascii="黑体" w:hAnsi="黑体" w:eastAsia="黑体" w:cs="黑体"/>
          <w:lang w:val="en-US" w:eastAsia="zh-CN"/>
        </w:rPr>
        <w:t>第十二条</w:t>
      </w:r>
      <w:r>
        <w:rPr>
          <w:rFonts w:hint="eastAsia" w:ascii="Times New Roman" w:cs="Times New Roman"/>
          <w:lang w:val="en-US" w:eastAsia="zh-CN"/>
        </w:rPr>
        <w:t xml:space="preserve"> 资产交易公开</w:t>
      </w:r>
      <w:r>
        <w:rPr>
          <w:rFonts w:hint="default" w:ascii="Times New Roman" w:hAnsi="Times New Roman" w:cs="Times New Roman"/>
        </w:rPr>
        <w:t>转让首次正式信息披露的转让底价，不得低于经备案的资产评估结果</w:t>
      </w:r>
      <w:r>
        <w:rPr>
          <w:rFonts w:hint="eastAsia" w:ascii="Times New Roman" w:cs="Times New Roman"/>
          <w:lang w:eastAsia="zh-CN"/>
        </w:rPr>
        <w:t>。</w:t>
      </w:r>
      <w:r>
        <w:rPr>
          <w:rFonts w:hint="eastAsia" w:ascii="Times New Roman" w:hAnsi="Times New Roman" w:cs="Times New Roman"/>
        </w:rPr>
        <w:t>产权转让、资产转让项目信息披露期满未征集到意向受让方，仅调整转让底价后重新披露信息的，产权转让披露时间不少于10个工作日，资产转让披露时间不少于5个工作日</w:t>
      </w:r>
      <w:r>
        <w:rPr>
          <w:rFonts w:hint="eastAsia" w:ascii="Times New Roman" w:cs="Times New Roman"/>
          <w:lang w:eastAsia="zh-CN"/>
        </w:rPr>
        <w:t>。</w:t>
      </w:r>
      <w:r>
        <w:rPr>
          <w:rFonts w:hint="eastAsia" w:ascii="Times New Roman" w:cs="Times New Roman"/>
          <w:lang w:val="en-US" w:eastAsia="zh-CN"/>
        </w:rPr>
        <w:t>新的转让底价低于评估结果的90%的，应当经转让行为原批准单位同意。</w:t>
      </w:r>
    </w:p>
    <w:p>
      <w:pPr>
        <w:keepNext w:val="0"/>
        <w:keepLines w:val="0"/>
        <w:pageBreakBefore w:val="0"/>
        <w:kinsoku/>
        <w:wordWrap/>
        <w:overflowPunct/>
        <w:topLinePunct w:val="0"/>
        <w:autoSpaceDE/>
        <w:autoSpaceDN/>
        <w:bidi w:val="0"/>
        <w:adjustRightInd/>
        <w:snapToGrid/>
        <w:spacing w:line="560" w:lineRule="exact"/>
        <w:ind w:firstLine="630"/>
        <w:textAlignment w:val="auto"/>
        <w:rPr>
          <w:rFonts w:hint="default" w:ascii="Times New Roman" w:hAnsi="Times New Roman" w:eastAsia="仿宋_GB2312" w:cs="Times New Roman"/>
          <w:lang w:val="en-US" w:eastAsia="zh-CN"/>
        </w:rPr>
      </w:pPr>
      <w:r>
        <w:rPr>
          <w:rFonts w:hint="eastAsia" w:ascii="黑体" w:hAnsi="黑体" w:eastAsia="黑体" w:cs="黑体"/>
          <w:lang w:val="en-US" w:eastAsia="zh-CN"/>
        </w:rPr>
        <w:t>第十三条</w:t>
      </w:r>
      <w:r>
        <w:rPr>
          <w:rFonts w:hint="eastAsia" w:ascii="Times New Roman" w:cs="Times New Roman"/>
          <w:lang w:val="en-US" w:eastAsia="zh-CN"/>
        </w:rPr>
        <w:t xml:space="preserve"> </w:t>
      </w:r>
      <w:r>
        <w:rPr>
          <w:rFonts w:hint="default" w:ascii="Times New Roman" w:hAnsi="Times New Roman" w:cs="Times New Roman"/>
        </w:rPr>
        <w:t>资产交易项目自首次正式披露信息之日起超过12个月未征集到符合条件的受让</w:t>
      </w:r>
      <w:r>
        <w:rPr>
          <w:rFonts w:hint="eastAsia" w:ascii="Times New Roman" w:cs="Times New Roman"/>
          <w:lang w:val="en-US" w:eastAsia="zh-CN"/>
        </w:rPr>
        <w:t>方</w:t>
      </w:r>
      <w:r>
        <w:rPr>
          <w:rFonts w:hint="eastAsia" w:ascii="Times New Roman" w:hAnsi="Times New Roman" w:cs="Times New Roman"/>
          <w:lang w:eastAsia="zh-CN"/>
        </w:rPr>
        <w:t>（</w:t>
      </w:r>
      <w:r>
        <w:rPr>
          <w:rFonts w:hint="default" w:ascii="Times New Roman" w:hAnsi="Times New Roman" w:cs="Times New Roman"/>
        </w:rPr>
        <w:t>投资方</w:t>
      </w:r>
      <w:r>
        <w:rPr>
          <w:rFonts w:hint="eastAsia" w:ascii="Times New Roman" w:hAnsi="Times New Roman" w:cs="Times New Roman"/>
          <w:lang w:eastAsia="zh-CN"/>
        </w:rPr>
        <w:t>）</w:t>
      </w:r>
      <w:r>
        <w:rPr>
          <w:rFonts w:hint="default" w:ascii="Times New Roman" w:hAnsi="Times New Roman" w:cs="Times New Roman"/>
        </w:rPr>
        <w:t>的，应当重新履行审计、资产评估</w:t>
      </w:r>
      <w:r>
        <w:rPr>
          <w:rFonts w:hint="eastAsia" w:ascii="Times New Roman" w:cs="Times New Roman"/>
          <w:lang w:val="en-US" w:eastAsia="zh-CN"/>
        </w:rPr>
        <w:t>以及</w:t>
      </w:r>
      <w:r>
        <w:rPr>
          <w:rFonts w:hint="default" w:ascii="Times New Roman" w:hAnsi="Times New Roman" w:cs="Times New Roman"/>
        </w:rPr>
        <w:t>信息披露等资产交易工作程序</w:t>
      </w:r>
      <w:r>
        <w:rPr>
          <w:rFonts w:hint="eastAsia" w:ascii="Times New Roman" w:cs="Times New Roman"/>
          <w:lang w:eastAsia="zh-CN"/>
        </w:rPr>
        <w:t>，</w:t>
      </w:r>
      <w:r>
        <w:rPr>
          <w:rFonts w:hint="eastAsia" w:ascii="Times New Roman" w:cs="Times New Roman"/>
          <w:lang w:val="en-US" w:eastAsia="zh-CN"/>
        </w:rPr>
        <w:t>并经原批准单位重新审议决策。</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lang w:val="en-US" w:eastAsia="zh-CN"/>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lang w:val="en-US" w:eastAsia="zh-CN"/>
        </w:rPr>
      </w:pPr>
      <w:r>
        <w:rPr>
          <w:rFonts w:hint="eastAsia" w:ascii="黑体" w:hAnsi="黑体" w:eastAsia="黑体" w:cs="黑体"/>
          <w:lang w:val="en-US" w:eastAsia="zh-CN"/>
        </w:rPr>
        <w:t xml:space="preserve">第五章  </w:t>
      </w:r>
      <w:r>
        <w:rPr>
          <w:rFonts w:hint="eastAsia" w:ascii="黑体" w:hAnsi="黑体" w:eastAsia="黑体" w:cs="黑体"/>
        </w:rPr>
        <w:t>监督</w:t>
      </w:r>
      <w:r>
        <w:rPr>
          <w:rFonts w:hint="eastAsia" w:ascii="黑体" w:hAnsi="黑体" w:eastAsia="黑体" w:cs="黑体"/>
          <w:lang w:val="en-US" w:eastAsia="zh-CN"/>
        </w:rPr>
        <w:t>管理</w:t>
      </w:r>
    </w:p>
    <w:p>
      <w:pPr>
        <w:keepNext w:val="0"/>
        <w:keepLines w:val="0"/>
        <w:pageBreakBefore w:val="0"/>
        <w:kinsoku/>
        <w:wordWrap/>
        <w:overflowPunct/>
        <w:topLinePunct w:val="0"/>
        <w:autoSpaceDE/>
        <w:autoSpaceDN/>
        <w:bidi w:val="0"/>
        <w:adjustRightInd/>
        <w:snapToGrid/>
        <w:spacing w:line="560" w:lineRule="exact"/>
        <w:ind w:firstLine="630"/>
        <w:textAlignment w:val="auto"/>
        <w:rPr>
          <w:rFonts w:hint="default" w:ascii="Times New Roman" w:hAnsi="Times New Roman" w:cs="Times New Roma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rPr>
      </w:pPr>
      <w:r>
        <w:rPr>
          <w:rFonts w:hint="eastAsia" w:ascii="黑体" w:hAnsi="黑体" w:eastAsia="黑体" w:cs="黑体"/>
          <w:lang w:val="en-US" w:eastAsia="zh-CN"/>
        </w:rPr>
        <w:t>第十四条</w:t>
      </w:r>
      <w:r>
        <w:rPr>
          <w:rFonts w:hint="eastAsia" w:ascii="Times New Roman" w:cs="Times New Roman"/>
          <w:lang w:val="en-US" w:eastAsia="zh-CN"/>
        </w:rPr>
        <w:t xml:space="preserve"> </w:t>
      </w:r>
      <w:r>
        <w:rPr>
          <w:rFonts w:hint="default" w:ascii="Times New Roman" w:hAnsi="Times New Roman" w:cs="Times New Roman"/>
        </w:rPr>
        <w:t>市属国有企业</w:t>
      </w:r>
      <w:r>
        <w:rPr>
          <w:rFonts w:hint="eastAsia" w:ascii="Times New Roman" w:cs="Times New Roman"/>
          <w:lang w:val="en-US" w:eastAsia="zh-CN"/>
        </w:rPr>
        <w:t>及子企业</w:t>
      </w:r>
      <w:r>
        <w:rPr>
          <w:rFonts w:hint="default" w:ascii="Times New Roman" w:hAnsi="Times New Roman" w:cs="Times New Roman"/>
        </w:rPr>
        <w:t>资产交易应严格执行“三重一大”决策制度规定，履行相关的审议决策程序，接受市</w:t>
      </w:r>
      <w:r>
        <w:rPr>
          <w:rFonts w:hint="eastAsia" w:ascii="Times New Roman" w:hAnsi="Times New Roman" w:cs="Times New Roman"/>
          <w:lang w:val="en-US" w:eastAsia="zh-CN"/>
        </w:rPr>
        <w:t>国资运服中心</w:t>
      </w:r>
      <w:r>
        <w:rPr>
          <w:rFonts w:hint="default" w:ascii="Times New Roman" w:hAnsi="Times New Roman" w:cs="Times New Roman"/>
        </w:rPr>
        <w:t>的监督检查。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rPr>
      </w:pPr>
      <w:r>
        <w:rPr>
          <w:rFonts w:hint="eastAsia" w:ascii="黑体" w:hAnsi="黑体" w:eastAsia="黑体" w:cs="黑体"/>
          <w:lang w:val="en-US" w:eastAsia="zh-CN"/>
        </w:rPr>
        <w:t>第十五条</w:t>
      </w:r>
      <w:r>
        <w:rPr>
          <w:rFonts w:hint="eastAsia" w:ascii="Times New Roman" w:cs="Times New Roman"/>
          <w:lang w:val="en-US" w:eastAsia="zh-CN"/>
        </w:rPr>
        <w:t xml:space="preserve"> </w:t>
      </w:r>
      <w:r>
        <w:rPr>
          <w:rFonts w:hint="default" w:ascii="Times New Roman" w:hAnsi="Times New Roman" w:cs="Times New Roman"/>
        </w:rPr>
        <w:t>市属国有企业及子企业应建立国有资产交易日常检查和跟踪机制，加强对国有资产交易活动的监督检查，并纳入内部审计范围。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rPr>
      </w:pPr>
      <w:r>
        <w:rPr>
          <w:rFonts w:hint="eastAsia" w:ascii="黑体" w:hAnsi="黑体" w:eastAsia="黑体" w:cs="黑体"/>
          <w:lang w:val="en-US" w:eastAsia="zh-CN"/>
        </w:rPr>
        <w:t>第十六条</w:t>
      </w:r>
      <w:r>
        <w:rPr>
          <w:rFonts w:hint="eastAsia" w:ascii="Times New Roman" w:cs="Times New Roman"/>
          <w:lang w:val="en-US" w:eastAsia="zh-CN"/>
        </w:rPr>
        <w:t xml:space="preserve"> 市属国有企业及子企业的有关人员违反规定越权决策、批准相关交易事项，或者玩忽职守、以权谋私致使国有权益受到侵害的，由有关单位按照人事和干部管理权限给予相关责任人员相应处分；造成国有资产损失的，相关责任人员应当承担赔偿责任；构成犯罪的，依法追究其刑事责任。</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Times New Roman" w:cs="Times New Roman"/>
          <w:lang w:val="en-US" w:eastAsia="zh-CN"/>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lang w:val="en-US" w:eastAsia="zh-CN"/>
        </w:rPr>
      </w:pPr>
      <w:r>
        <w:rPr>
          <w:rFonts w:hint="eastAsia" w:ascii="黑体" w:hAnsi="黑体" w:eastAsia="黑体" w:cs="黑体"/>
          <w:lang w:val="en-US" w:eastAsia="zh-CN"/>
        </w:rPr>
        <w:t>第六章  附  则</w:t>
      </w:r>
    </w:p>
    <w:p>
      <w:pPr>
        <w:spacing w:line="540" w:lineRule="exact"/>
        <w:ind w:firstLine="640" w:firstLineChars="200"/>
        <w:rPr>
          <w:rFonts w:hint="eastAsia" w:cs="仿宋_GB2312"/>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cs="Times New Roman"/>
          <w:lang w:eastAsia="zh-CN"/>
        </w:rPr>
      </w:pPr>
      <w:r>
        <w:rPr>
          <w:rFonts w:hint="eastAsia" w:ascii="黑体" w:hAnsi="黑体" w:eastAsia="黑体" w:cs="黑体"/>
          <w:lang w:val="en-US" w:eastAsia="zh-CN"/>
        </w:rPr>
        <w:t>第十七条</w:t>
      </w:r>
      <w:r>
        <w:rPr>
          <w:rFonts w:hint="eastAsia" w:ascii="Times New Roman" w:cs="Times New Roman"/>
          <w:lang w:val="en-US" w:eastAsia="zh-CN"/>
        </w:rPr>
        <w:t xml:space="preserve"> </w:t>
      </w:r>
      <w:r>
        <w:rPr>
          <w:rFonts w:hint="default" w:ascii="Times New Roman" w:hAnsi="Times New Roman" w:cs="Times New Roman"/>
        </w:rPr>
        <w:t>市属国有企业</w:t>
      </w:r>
      <w:r>
        <w:rPr>
          <w:rFonts w:hint="eastAsia" w:ascii="Times New Roman" w:cs="Times New Roman"/>
          <w:lang w:val="en-US" w:eastAsia="zh-CN"/>
        </w:rPr>
        <w:t>及子企业</w:t>
      </w:r>
      <w:r>
        <w:rPr>
          <w:rFonts w:hint="default" w:ascii="Times New Roman" w:hAnsi="Times New Roman" w:cs="Times New Roman"/>
        </w:rPr>
        <w:t>应依据相关规定</w:t>
      </w:r>
      <w:r>
        <w:rPr>
          <w:rFonts w:hint="eastAsia" w:ascii="Times New Roman" w:cs="Times New Roman"/>
          <w:lang w:eastAsia="zh-CN"/>
        </w:rPr>
        <w:t>，</w:t>
      </w:r>
      <w:r>
        <w:rPr>
          <w:rFonts w:hint="default" w:ascii="Times New Roman" w:hAnsi="Times New Roman" w:cs="Times New Roman"/>
        </w:rPr>
        <w:t>制定本企业资产交易行为的内部管理制度，明确责任部门、管理权限、决策程序、工作流程</w:t>
      </w:r>
      <w:r>
        <w:rPr>
          <w:rFonts w:hint="eastAsia" w:ascii="Times New Roman" w:cs="Times New Roman"/>
          <w:lang w:val="en-US" w:eastAsia="zh-CN"/>
        </w:rPr>
        <w:t>等内容</w:t>
      </w:r>
      <w:r>
        <w:rPr>
          <w:rFonts w:hint="default" w:ascii="Times New Roman" w:hAnsi="Times New Roman" w:cs="Times New Roman"/>
        </w:rPr>
        <w:t>，</w:t>
      </w:r>
      <w:r>
        <w:rPr>
          <w:rFonts w:hint="eastAsia" w:ascii="Times New Roman" w:cs="Times New Roman"/>
          <w:lang w:val="en-US" w:eastAsia="zh-CN"/>
        </w:rPr>
        <w:t>其中对重大资产的种类</w:t>
      </w:r>
      <w:r>
        <w:rPr>
          <w:rFonts w:hint="default" w:ascii="Times New Roman" w:hAnsi="Times New Roman" w:cs="Times New Roman"/>
        </w:rPr>
        <w:t>、金额标准等</w:t>
      </w:r>
      <w:r>
        <w:rPr>
          <w:rFonts w:hint="eastAsia" w:ascii="Times New Roman" w:cs="Times New Roman"/>
          <w:lang w:eastAsia="zh-CN"/>
        </w:rPr>
        <w:t>作出</w:t>
      </w:r>
      <w:r>
        <w:rPr>
          <w:rFonts w:hint="default" w:ascii="Times New Roman" w:hAnsi="Times New Roman" w:cs="Times New Roman"/>
        </w:rPr>
        <w:t>具体规定，并报</w:t>
      </w:r>
      <w:r>
        <w:rPr>
          <w:rFonts w:hint="eastAsia" w:ascii="Times New Roman" w:hAnsi="Times New Roman" w:cs="Times New Roman"/>
          <w:lang w:val="en-US" w:eastAsia="zh-CN"/>
        </w:rPr>
        <w:t>市国资运服中心</w:t>
      </w:r>
      <w:r>
        <w:rPr>
          <w:rFonts w:hint="default" w:ascii="Times New Roman" w:hAnsi="Times New Roman" w:cs="Times New Roman"/>
        </w:rPr>
        <w:t>备案。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cs="Times New Roman"/>
          <w:lang w:eastAsia="zh-CN"/>
        </w:rPr>
      </w:pPr>
      <w:r>
        <w:rPr>
          <w:rFonts w:hint="eastAsia" w:ascii="黑体" w:hAnsi="黑体" w:eastAsia="黑体" w:cs="黑体"/>
          <w:lang w:val="en-US" w:eastAsia="zh-CN"/>
        </w:rPr>
        <w:t xml:space="preserve">第十八条 </w:t>
      </w:r>
      <w:r>
        <w:rPr>
          <w:rFonts w:hint="eastAsia" w:ascii="Times New Roman" w:cs="Times New Roman"/>
          <w:lang w:val="en-US" w:eastAsia="zh-CN"/>
        </w:rPr>
        <w:t>市属国有企业及子企业应</w:t>
      </w:r>
      <w:r>
        <w:rPr>
          <w:rFonts w:hint="default" w:ascii="Times New Roman" w:hAnsi="Times New Roman" w:cs="Times New Roman"/>
        </w:rPr>
        <w:t>于每季度终了10日内填写《</w:t>
      </w:r>
      <w:r>
        <w:rPr>
          <w:rFonts w:hint="eastAsia" w:ascii="Times New Roman" w:hAnsi="Times New Roman" w:cs="Times New Roman"/>
          <w:lang w:val="en-US" w:eastAsia="zh-CN"/>
        </w:rPr>
        <w:t>太仓</w:t>
      </w:r>
      <w:r>
        <w:rPr>
          <w:rFonts w:hint="default" w:ascii="Times New Roman" w:hAnsi="Times New Roman" w:cs="Times New Roman"/>
        </w:rPr>
        <w:t>市市属国有企业资产交易情况表》</w:t>
      </w:r>
      <w:r>
        <w:rPr>
          <w:rFonts w:hint="eastAsia" w:ascii="Times New Roman" w:cs="Times New Roman"/>
          <w:lang w:eastAsia="zh-CN"/>
        </w:rPr>
        <w:t>，</w:t>
      </w:r>
      <w:r>
        <w:rPr>
          <w:rFonts w:hint="eastAsia" w:ascii="Times New Roman" w:cs="Times New Roman"/>
          <w:lang w:val="en-US" w:eastAsia="zh-CN"/>
        </w:rPr>
        <w:t>并</w:t>
      </w:r>
      <w:r>
        <w:rPr>
          <w:rFonts w:hint="default" w:ascii="Times New Roman" w:hAnsi="Times New Roman" w:cs="Times New Roman"/>
        </w:rPr>
        <w:t>连同相关决策</w:t>
      </w:r>
      <w:r>
        <w:rPr>
          <w:rFonts w:hint="eastAsia" w:ascii="Times New Roman" w:cs="Times New Roman"/>
          <w:lang w:val="en-US" w:eastAsia="zh-CN"/>
        </w:rPr>
        <w:t>及</w:t>
      </w:r>
      <w:r>
        <w:rPr>
          <w:rFonts w:hint="default" w:ascii="Times New Roman" w:hAnsi="Times New Roman" w:cs="Times New Roman"/>
        </w:rPr>
        <w:t>审批</w:t>
      </w:r>
      <w:r>
        <w:rPr>
          <w:rFonts w:hint="eastAsia" w:ascii="Times New Roman" w:cs="Times New Roman"/>
          <w:lang w:eastAsia="zh-CN"/>
        </w:rPr>
        <w:t>、</w:t>
      </w:r>
      <w:r>
        <w:rPr>
          <w:rFonts w:hint="eastAsia" w:ascii="Times New Roman" w:cs="Times New Roman"/>
          <w:lang w:val="en-US" w:eastAsia="zh-CN"/>
        </w:rPr>
        <w:t>交易等</w:t>
      </w:r>
      <w:r>
        <w:rPr>
          <w:rFonts w:hint="default" w:ascii="Times New Roman" w:hAnsi="Times New Roman" w:cs="Times New Roman"/>
        </w:rPr>
        <w:t>资料一并报送市</w:t>
      </w:r>
      <w:r>
        <w:rPr>
          <w:rFonts w:hint="eastAsia" w:ascii="Times New Roman" w:cs="Times New Roman"/>
          <w:lang w:val="en-US" w:eastAsia="zh-CN"/>
        </w:rPr>
        <w:t>国资运服中心</w:t>
      </w:r>
      <w:r>
        <w:rPr>
          <w:rFonts w:hint="default" w:ascii="Times New Roman" w:hAnsi="Times New Roman" w:cs="Times New Roma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cs="Times New Roman"/>
          <w:lang w:val="en-US" w:eastAsia="zh-CN"/>
        </w:rPr>
      </w:pPr>
      <w:r>
        <w:rPr>
          <w:rFonts w:hint="eastAsia" w:ascii="黑体" w:hAnsi="黑体" w:eastAsia="黑体" w:cs="黑体"/>
          <w:lang w:val="en-US" w:eastAsia="zh-CN"/>
        </w:rPr>
        <w:t>第十九条</w:t>
      </w:r>
      <w:r>
        <w:rPr>
          <w:rFonts w:hint="eastAsia" w:ascii="Times New Roman" w:cs="Times New Roman"/>
          <w:lang w:val="en-US" w:eastAsia="zh-CN"/>
        </w:rPr>
        <w:t xml:space="preserve"> </w:t>
      </w:r>
      <w:r>
        <w:rPr>
          <w:rFonts w:hint="default" w:ascii="Times New Roman" w:hAnsi="Times New Roman" w:cs="Times New Roman"/>
        </w:rPr>
        <w:t>市属国有企业及其子企业增资行为的审核管理，按照</w:t>
      </w:r>
      <w:r>
        <w:rPr>
          <w:rFonts w:hint="eastAsia" w:ascii="Times New Roman" w:cs="Times New Roman"/>
          <w:color w:val="000000"/>
          <w:kern w:val="2"/>
          <w:sz w:val="32"/>
          <w:szCs w:val="32"/>
          <w:lang w:val="en-US" w:eastAsia="zh-CN" w:bidi="ar-SA"/>
        </w:rPr>
        <w:t>《</w:t>
      </w:r>
      <w:r>
        <w:rPr>
          <w:rFonts w:hint="default" w:ascii="Times New Roman" w:hAnsi="Times New Roman" w:eastAsia="仿宋_GB2312" w:cs="Times New Roman"/>
          <w:color w:val="000000"/>
          <w:kern w:val="2"/>
          <w:sz w:val="32"/>
          <w:szCs w:val="32"/>
          <w:lang w:val="en-US" w:eastAsia="zh-CN" w:bidi="ar-SA"/>
        </w:rPr>
        <w:t>企业国有资产交易监督管理办法</w:t>
      </w:r>
      <w:r>
        <w:rPr>
          <w:rFonts w:hint="eastAsia" w:ascii="Times New Roman" w:hAnsi="Times New Roman" w:eastAsia="仿宋_GB2312" w:cs="Times New Roman"/>
          <w:color w:val="000000"/>
          <w:kern w:val="2"/>
          <w:sz w:val="32"/>
          <w:szCs w:val="32"/>
          <w:lang w:val="en-US" w:eastAsia="zh-CN" w:bidi="ar-SA"/>
        </w:rPr>
        <w:t>》（</w:t>
      </w:r>
      <w:r>
        <w:rPr>
          <w:rFonts w:hint="default" w:ascii="Times New Roman" w:hAnsi="Times New Roman" w:eastAsia="仿宋_GB2312" w:cs="Times New Roman"/>
          <w:color w:val="000000"/>
          <w:kern w:val="2"/>
          <w:sz w:val="32"/>
          <w:szCs w:val="32"/>
          <w:lang w:val="en-US" w:eastAsia="zh-CN" w:bidi="ar-SA"/>
        </w:rPr>
        <w:t>国务院国资委 财政部令第32号</w:t>
      </w:r>
      <w:r>
        <w:rPr>
          <w:rFonts w:hint="eastAsia" w:ascii="Times New Roman" w:hAnsi="Times New Roman" w:eastAsia="仿宋_GB2312" w:cs="Times New Roman"/>
          <w:color w:val="000000"/>
          <w:kern w:val="2"/>
          <w:sz w:val="32"/>
          <w:szCs w:val="32"/>
          <w:lang w:val="en-US" w:eastAsia="zh-CN" w:bidi="ar-SA"/>
        </w:rPr>
        <w:t>）</w:t>
      </w:r>
      <w:r>
        <w:rPr>
          <w:rFonts w:hint="default" w:ascii="Times New Roman" w:hAnsi="Times New Roman" w:cs="Times New Roman"/>
        </w:rPr>
        <w:t>、</w:t>
      </w:r>
      <w:r>
        <w:rPr>
          <w:rFonts w:hint="default" w:ascii="Times New Roman" w:hAnsi="Times New Roman" w:eastAsia="仿宋_GB2312" w:cs="Times New Roman"/>
          <w:color w:val="000000"/>
          <w:kern w:val="2"/>
          <w:sz w:val="32"/>
          <w:szCs w:val="32"/>
          <w:lang w:val="en-US" w:eastAsia="zh-CN" w:bidi="ar-SA"/>
        </w:rPr>
        <w:t>《太仓市市属国有企业投资监督管理办法（试行）》（太政办〔2020〕168号）及《太仓市市属国有企业投资监督管理实施细则（试行）》（太政办〔2021〕174号）</w:t>
      </w:r>
      <w:r>
        <w:rPr>
          <w:rFonts w:hint="default" w:ascii="Times New Roman" w:hAnsi="Times New Roman" w:cs="Times New Roman"/>
        </w:rPr>
        <w:t>的有关规定执行。</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cs="Times New Roman"/>
          <w:lang w:val="en-US" w:eastAsia="zh-CN"/>
        </w:rPr>
      </w:pPr>
      <w:r>
        <w:rPr>
          <w:rFonts w:hint="eastAsia" w:ascii="黑体" w:hAnsi="黑体" w:eastAsia="黑体" w:cs="黑体"/>
          <w:lang w:val="en-US" w:eastAsia="zh-CN"/>
        </w:rPr>
        <w:t>第二十条</w:t>
      </w:r>
      <w:r>
        <w:rPr>
          <w:rFonts w:hint="eastAsia" w:ascii="Times New Roman" w:cs="Times New Roman"/>
          <w:lang w:val="en-US" w:eastAsia="zh-CN"/>
        </w:rPr>
        <w:t xml:space="preserve"> 市属国有企业及子企业设立的各类股权投资基金投资形成企业产（股）权的对外转让，按照有关法律法规规定执行。</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cs="Times New Roman"/>
          <w:lang w:val="en-US" w:eastAsia="zh-CN"/>
        </w:rPr>
      </w:pPr>
      <w:r>
        <w:rPr>
          <w:rFonts w:hint="eastAsia" w:ascii="黑体" w:hAnsi="黑体" w:eastAsia="黑体" w:cs="黑体"/>
          <w:lang w:val="en-US" w:eastAsia="zh-CN"/>
        </w:rPr>
        <w:t>第二十一条</w:t>
      </w:r>
      <w:r>
        <w:rPr>
          <w:rFonts w:hint="eastAsia" w:ascii="Times New Roman" w:cs="Times New Roman"/>
          <w:lang w:val="en-US" w:eastAsia="zh-CN"/>
        </w:rPr>
        <w:t xml:space="preserve"> 市属国有企业及子企业上市公司的国有股权转让行为，按照有关法律法规规定执行。</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cs="Times New Roman"/>
          <w:lang w:val="en-US" w:eastAsia="zh-CN"/>
        </w:rPr>
      </w:pPr>
      <w:r>
        <w:rPr>
          <w:rFonts w:hint="eastAsia" w:ascii="黑体" w:hAnsi="黑体" w:eastAsia="黑体" w:cs="黑体"/>
          <w:lang w:val="en-US" w:eastAsia="zh-CN"/>
        </w:rPr>
        <w:t>第二十二条</w:t>
      </w:r>
      <w:r>
        <w:rPr>
          <w:rFonts w:hint="eastAsia" w:ascii="Times New Roman" w:cs="Times New Roman"/>
          <w:lang w:val="en-US" w:eastAsia="zh-CN"/>
        </w:rPr>
        <w:t xml:space="preserve"> 本办法由市国资运服中心解释，自发布之日起施行，有效期3年，现行市属国有企业资产交易监管相关规定与本办法不一致的，以本办法为准。</w:t>
      </w:r>
    </w:p>
    <w:p>
      <w:pPr>
        <w:keepNext w:val="0"/>
        <w:keepLines w:val="0"/>
        <w:pageBreakBefore w:val="0"/>
        <w:kinsoku/>
        <w:wordWrap/>
        <w:overflowPunct/>
        <w:topLinePunct w:val="0"/>
        <w:autoSpaceDE/>
        <w:autoSpaceDN/>
        <w:bidi w:val="0"/>
        <w:adjustRightInd/>
        <w:snapToGrid/>
        <w:spacing w:line="560" w:lineRule="exact"/>
        <w:ind w:firstLine="630"/>
        <w:textAlignment w:val="auto"/>
        <w:rPr>
          <w:rFonts w:hint="eastAsia" w:ascii="Times New Roman" w:cs="Times New Roman"/>
          <w:lang w:val="en-US" w:eastAsia="zh-CN"/>
        </w:rPr>
      </w:pPr>
    </w:p>
    <w:p>
      <w:pPr>
        <w:keepNext w:val="0"/>
        <w:keepLines w:val="0"/>
        <w:pageBreakBefore w:val="0"/>
        <w:kinsoku/>
        <w:wordWrap/>
        <w:overflowPunct/>
        <w:topLinePunct w:val="0"/>
        <w:autoSpaceDE/>
        <w:autoSpaceDN/>
        <w:bidi w:val="0"/>
        <w:adjustRightInd/>
        <w:snapToGrid/>
        <w:spacing w:line="560" w:lineRule="exact"/>
        <w:ind w:firstLine="630"/>
        <w:textAlignment w:val="auto"/>
        <w:rPr>
          <w:rFonts w:hint="eastAsia" w:ascii="Times New Roman" w:hAnsi="Times New Roman" w:eastAsia="仿宋_GB2312" w:cs="Times New Roman"/>
          <w:lang w:val="en-US" w:eastAsia="zh-CN"/>
        </w:rPr>
      </w:pPr>
      <w:r>
        <w:rPr>
          <w:rFonts w:hint="eastAsia" w:ascii="Times New Roman" w:cs="Times New Roman"/>
          <w:lang w:val="en-US" w:eastAsia="zh-CN"/>
        </w:rPr>
        <w:t>附件：</w:t>
      </w:r>
      <w:r>
        <w:rPr>
          <w:rFonts w:hint="eastAsia" w:ascii="Times New Roman" w:hAnsi="Times New Roman" w:cs="Times New Roman"/>
          <w:lang w:val="en-US" w:eastAsia="zh-CN"/>
        </w:rPr>
        <w:t>太仓</w:t>
      </w:r>
      <w:r>
        <w:rPr>
          <w:rFonts w:hint="default" w:ascii="Times New Roman" w:hAnsi="Times New Roman" w:cs="Times New Roman"/>
        </w:rPr>
        <w:t>市市属国有企业资产交易情况表</w:t>
      </w:r>
    </w:p>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cs="Times New Roman"/>
          <w:bCs/>
          <w:lang w:val="en-US" w:eastAsia="zh-CN"/>
        </w:rPr>
      </w:pPr>
      <w:bookmarkStart w:id="0" w:name="_GoBack"/>
      <w:bookmarkEnd w:id="0"/>
    </w:p>
    <w:sectPr>
      <w:footerReference r:id="rId3" w:type="default"/>
      <w:pgSz w:w="11906" w:h="16838"/>
      <w:pgMar w:top="2041" w:right="1474" w:bottom="1928" w:left="147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zM2UzYjliNGU1ZTc1MTZkODk3NjEwODU5YmMwYTQifQ=="/>
  </w:docVars>
  <w:rsids>
    <w:rsidRoot w:val="01D56A32"/>
    <w:rsid w:val="00263318"/>
    <w:rsid w:val="01143663"/>
    <w:rsid w:val="012E6855"/>
    <w:rsid w:val="01D56A32"/>
    <w:rsid w:val="04D07A99"/>
    <w:rsid w:val="05F11A75"/>
    <w:rsid w:val="06D1633E"/>
    <w:rsid w:val="07593D76"/>
    <w:rsid w:val="09001CC8"/>
    <w:rsid w:val="0A1D7EA8"/>
    <w:rsid w:val="0C2F1549"/>
    <w:rsid w:val="0DA20BEA"/>
    <w:rsid w:val="0F4C1156"/>
    <w:rsid w:val="10006843"/>
    <w:rsid w:val="128A3E26"/>
    <w:rsid w:val="12C80001"/>
    <w:rsid w:val="136F4921"/>
    <w:rsid w:val="138E06DF"/>
    <w:rsid w:val="141E722C"/>
    <w:rsid w:val="15945CB1"/>
    <w:rsid w:val="16633614"/>
    <w:rsid w:val="19D25900"/>
    <w:rsid w:val="1C1B552A"/>
    <w:rsid w:val="1D1D4F28"/>
    <w:rsid w:val="1DF76CAC"/>
    <w:rsid w:val="1ECB3584"/>
    <w:rsid w:val="1EE75CB3"/>
    <w:rsid w:val="1F833C2E"/>
    <w:rsid w:val="1FA53BA4"/>
    <w:rsid w:val="1FDA04AE"/>
    <w:rsid w:val="22166AFA"/>
    <w:rsid w:val="22284619"/>
    <w:rsid w:val="22B75A89"/>
    <w:rsid w:val="23C04001"/>
    <w:rsid w:val="240B3373"/>
    <w:rsid w:val="24FB0E84"/>
    <w:rsid w:val="25230E74"/>
    <w:rsid w:val="25FA3AC0"/>
    <w:rsid w:val="26467763"/>
    <w:rsid w:val="26F14CDA"/>
    <w:rsid w:val="27D12D39"/>
    <w:rsid w:val="28FF3C9A"/>
    <w:rsid w:val="29B5077A"/>
    <w:rsid w:val="2AD0584D"/>
    <w:rsid w:val="2AE553C9"/>
    <w:rsid w:val="2C302A48"/>
    <w:rsid w:val="2CB371D5"/>
    <w:rsid w:val="2D1B36F8"/>
    <w:rsid w:val="2D5409B8"/>
    <w:rsid w:val="2D8D5C78"/>
    <w:rsid w:val="2F37224D"/>
    <w:rsid w:val="2F446A63"/>
    <w:rsid w:val="2F5B458C"/>
    <w:rsid w:val="3148471B"/>
    <w:rsid w:val="3192385D"/>
    <w:rsid w:val="32A0644D"/>
    <w:rsid w:val="32F72E33"/>
    <w:rsid w:val="33896EE1"/>
    <w:rsid w:val="33AB6E58"/>
    <w:rsid w:val="34FF7BCE"/>
    <w:rsid w:val="35F42619"/>
    <w:rsid w:val="37AF33BA"/>
    <w:rsid w:val="389B393F"/>
    <w:rsid w:val="39812B34"/>
    <w:rsid w:val="3BA82F20"/>
    <w:rsid w:val="3BCE402B"/>
    <w:rsid w:val="3D207CCF"/>
    <w:rsid w:val="3D3D6D72"/>
    <w:rsid w:val="3E2E7003"/>
    <w:rsid w:val="3E474961"/>
    <w:rsid w:val="3EBC016B"/>
    <w:rsid w:val="3EC51715"/>
    <w:rsid w:val="41362456"/>
    <w:rsid w:val="413F7785"/>
    <w:rsid w:val="43204581"/>
    <w:rsid w:val="43721740"/>
    <w:rsid w:val="44C1472D"/>
    <w:rsid w:val="44F92119"/>
    <w:rsid w:val="4729480B"/>
    <w:rsid w:val="472A5ECE"/>
    <w:rsid w:val="47F61ACE"/>
    <w:rsid w:val="4AD8632C"/>
    <w:rsid w:val="4B7C577F"/>
    <w:rsid w:val="4B8149F8"/>
    <w:rsid w:val="4C3A6B73"/>
    <w:rsid w:val="4CCC0113"/>
    <w:rsid w:val="4DF80A94"/>
    <w:rsid w:val="50267B3A"/>
    <w:rsid w:val="5159089C"/>
    <w:rsid w:val="520B6FE7"/>
    <w:rsid w:val="528A53BC"/>
    <w:rsid w:val="52D675F5"/>
    <w:rsid w:val="538A6632"/>
    <w:rsid w:val="540E7263"/>
    <w:rsid w:val="54EA65D0"/>
    <w:rsid w:val="55376345"/>
    <w:rsid w:val="57A0782E"/>
    <w:rsid w:val="57E96447"/>
    <w:rsid w:val="57EE718F"/>
    <w:rsid w:val="5AD54636"/>
    <w:rsid w:val="5AF01470"/>
    <w:rsid w:val="5B9B762E"/>
    <w:rsid w:val="5C4A4BB0"/>
    <w:rsid w:val="5E156D9C"/>
    <w:rsid w:val="5F260238"/>
    <w:rsid w:val="5F2E2567"/>
    <w:rsid w:val="5F5465CE"/>
    <w:rsid w:val="600F05EB"/>
    <w:rsid w:val="626544F2"/>
    <w:rsid w:val="62FF4946"/>
    <w:rsid w:val="633C0210"/>
    <w:rsid w:val="636B5B38"/>
    <w:rsid w:val="64E93801"/>
    <w:rsid w:val="654C1999"/>
    <w:rsid w:val="65827929"/>
    <w:rsid w:val="65D8147F"/>
    <w:rsid w:val="6632293D"/>
    <w:rsid w:val="68B910F3"/>
    <w:rsid w:val="69180775"/>
    <w:rsid w:val="6998745D"/>
    <w:rsid w:val="6BF164DC"/>
    <w:rsid w:val="6C2340D2"/>
    <w:rsid w:val="6C314D81"/>
    <w:rsid w:val="6D3E606B"/>
    <w:rsid w:val="6E8F29C8"/>
    <w:rsid w:val="6F1729E8"/>
    <w:rsid w:val="6F864031"/>
    <w:rsid w:val="7318110C"/>
    <w:rsid w:val="7412273E"/>
    <w:rsid w:val="742A6D5C"/>
    <w:rsid w:val="745A3A6F"/>
    <w:rsid w:val="74922C70"/>
    <w:rsid w:val="764A32A6"/>
    <w:rsid w:val="7CFF61AF"/>
    <w:rsid w:val="7D301B5B"/>
    <w:rsid w:val="7D6D2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仿宋_GB2312" w:hAnsi="Times New Roman" w:eastAsia="仿宋_GB2312" w:cs="Times New Roman"/>
      <w:kern w:val="2"/>
      <w:sz w:val="32"/>
      <w:szCs w:val="32"/>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annotation text"/>
    <w:basedOn w:val="1"/>
    <w:autoRedefine/>
    <w:qFormat/>
    <w:uiPriority w:val="0"/>
    <w:pPr>
      <w:jc w:val="left"/>
    </w:pPr>
  </w:style>
  <w:style w:type="paragraph" w:styleId="3">
    <w:name w:val="footer"/>
    <w:basedOn w:val="1"/>
    <w:autoRedefine/>
    <w:qFormat/>
    <w:uiPriority w:val="0"/>
    <w:pPr>
      <w:tabs>
        <w:tab w:val="center" w:pos="4153"/>
        <w:tab w:val="right" w:pos="8306"/>
      </w:tabs>
      <w:snapToGrid w:val="0"/>
      <w:jc w:val="left"/>
    </w:pPr>
    <w:rPr>
      <w:sz w:val="18"/>
      <w:szCs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autoRedefine/>
    <w:qFormat/>
    <w:uiPriority w:val="0"/>
    <w:pPr>
      <w:spacing w:before="100" w:beforeAutospacing="1" w:after="100" w:afterAutospacing="1"/>
      <w:ind w:left="0" w:right="0"/>
      <w:jc w:val="left"/>
    </w:pPr>
    <w:rPr>
      <w:kern w:val="0"/>
      <w:sz w:val="24"/>
      <w:lang w:val="en-US" w:eastAsia="zh-CN" w:bidi="ar"/>
    </w:rPr>
  </w:style>
  <w:style w:type="character" w:styleId="8">
    <w:name w:val="page number"/>
    <w:basedOn w:val="7"/>
    <w:autoRedefine/>
    <w:qFormat/>
    <w:uiPriority w:val="0"/>
  </w:style>
  <w:style w:type="paragraph" w:customStyle="1" w:styleId="9">
    <w:name w:val="段"/>
    <w:next w:val="1"/>
    <w:autoRedefine/>
    <w:qFormat/>
    <w:uiPriority w:val="0"/>
    <w:pPr>
      <w:autoSpaceDE w:val="0"/>
      <w:autoSpaceDN w:val="0"/>
      <w:ind w:firstLine="200"/>
      <w:jc w:val="both"/>
    </w:pPr>
    <w:rPr>
      <w:rFonts w:ascii="宋体" w:hAnsi="Calibri"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2759</Words>
  <Characters>2797</Characters>
  <Lines>0</Lines>
  <Paragraphs>0</Paragraphs>
  <TotalTime>4</TotalTime>
  <ScaleCrop>false</ScaleCrop>
  <LinksUpToDate>false</LinksUpToDate>
  <CharactersWithSpaces>2839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2023-08-29T01:57:00Z</dcterms:created>
  <dc:creator>Administrator</dc:creator>
  <cp:lastModifiedBy>庄伯阳</cp:lastModifiedBy>
  <dcterms:modified xsi:type="dcterms:W3CDTF">2024-07-02T03:25:33Z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4C79EE85F5B04EB18629873888B60392</vt:lpwstr>
  </property>
</Properties>
</file>