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4.9.0.0 -->
  <w:body>
    <w:p w:rsidR="00DE26EC">
      <w:pPr>
        <w:adjustRightInd w:val="0"/>
        <w:snapToGrid w:val="0"/>
        <w:spacing w:line="560" w:lineRule="exact"/>
        <w:jc w:val="left"/>
        <w:rPr>
          <w:rFonts w:eastAsia="黑体"/>
          <w:color w:val="000000"/>
          <w:szCs w:val="32"/>
        </w:rPr>
      </w:pPr>
      <w:r>
        <w:rPr>
          <w:rFonts w:eastAsia="黑体"/>
          <w:color w:val="000000"/>
          <w:szCs w:val="32"/>
        </w:rPr>
        <w:t>附件</w:t>
      </w:r>
      <w:r>
        <w:rPr>
          <w:rFonts w:eastAsia="黑体"/>
          <w:color w:val="000000"/>
          <w:szCs w:val="32"/>
        </w:rPr>
        <w:t>1</w:t>
      </w:r>
      <w:r w:rsidR="00B4154C">
        <w:rPr>
          <w:rFonts w:eastAsia="黑体" w:hint="eastAsia"/>
          <w:color w:val="000000"/>
          <w:szCs w:val="32"/>
        </w:rPr>
        <w:t>：</w:t>
      </w:r>
    </w:p>
    <w:p w:rsidR="00DE26EC">
      <w:pPr>
        <w:adjustRightInd w:val="0"/>
        <w:snapToGrid w:val="0"/>
        <w:spacing w:line="560" w:lineRule="exact"/>
        <w:jc w:val="left"/>
        <w:rPr>
          <w:rFonts w:eastAsia="仿宋_GB2312"/>
          <w:color w:val="000000"/>
          <w:szCs w:val="32"/>
        </w:rPr>
      </w:pPr>
    </w:p>
    <w:p w:rsidR="00CB69B8" w:rsidP="00CB69B8">
      <w:pPr>
        <w:adjustRightInd w:val="0"/>
        <w:snapToGrid w:val="0"/>
        <w:spacing w:line="560" w:lineRule="exact"/>
        <w:jc w:val="center"/>
        <w:rPr>
          <w:rFonts w:eastAsia="方正小标宋简体"/>
          <w:color w:val="000000"/>
          <w:sz w:val="44"/>
          <w:szCs w:val="44"/>
        </w:rPr>
      </w:pPr>
      <w:r>
        <w:rPr>
          <w:rFonts w:eastAsia="方正小标宋简体"/>
          <w:color w:val="000000"/>
          <w:sz w:val="44"/>
          <w:szCs w:val="44"/>
        </w:rPr>
        <w:t>出入境特殊物品联合监管机制</w:t>
      </w:r>
    </w:p>
    <w:p w:rsidR="00DE26EC" w:rsidP="00CB69B8">
      <w:pPr>
        <w:adjustRightInd w:val="0"/>
        <w:snapToGrid w:val="0"/>
        <w:spacing w:line="560" w:lineRule="exact"/>
        <w:jc w:val="center"/>
        <w:rPr>
          <w:rFonts w:eastAsia="方正小标宋简体"/>
          <w:color w:val="000000"/>
          <w:sz w:val="44"/>
          <w:szCs w:val="44"/>
        </w:rPr>
      </w:pPr>
      <w:r>
        <w:rPr>
          <w:rFonts w:eastAsia="方正小标宋简体"/>
          <w:color w:val="000000"/>
          <w:sz w:val="44"/>
          <w:szCs w:val="44"/>
        </w:rPr>
        <w:t>试点单位管理规程</w:t>
      </w:r>
    </w:p>
    <w:p w:rsidR="00DE26EC">
      <w:pPr>
        <w:adjustRightInd w:val="0"/>
        <w:snapToGrid w:val="0"/>
        <w:spacing w:line="560" w:lineRule="exact"/>
        <w:ind w:firstLine="640" w:firstLineChars="200"/>
        <w:jc w:val="center"/>
        <w:rPr>
          <w:rFonts w:eastAsia="仿宋_GB2312"/>
          <w:b/>
          <w:bCs/>
          <w:color w:val="000000"/>
          <w:szCs w:val="32"/>
        </w:rPr>
      </w:pPr>
    </w:p>
    <w:p w:rsidR="00DE26EC">
      <w:pPr>
        <w:widowControl/>
        <w:adjustRightInd w:val="0"/>
        <w:snapToGrid w:val="0"/>
        <w:spacing w:line="560" w:lineRule="exact"/>
        <w:ind w:firstLine="640" w:firstLineChars="200"/>
        <w:rPr>
          <w:rFonts w:eastAsia="黑体"/>
          <w:color w:val="000000"/>
          <w:kern w:val="0"/>
          <w:szCs w:val="32"/>
        </w:rPr>
      </w:pPr>
      <w:r>
        <w:rPr>
          <w:rFonts w:eastAsia="黑体"/>
          <w:color w:val="000000"/>
          <w:kern w:val="0"/>
          <w:szCs w:val="32"/>
        </w:rPr>
        <w:t>一、认定机构</w:t>
      </w:r>
    </w:p>
    <w:p w:rsidR="00DE26EC">
      <w:pPr>
        <w:adjustRightInd w:val="0"/>
        <w:snapToGrid w:val="0"/>
        <w:spacing w:line="560" w:lineRule="exact"/>
        <w:ind w:firstLine="640" w:firstLineChars="200"/>
        <w:rPr>
          <w:rFonts w:eastAsia="仿宋_GB2312"/>
          <w:color w:val="000000"/>
          <w:szCs w:val="32"/>
        </w:rPr>
      </w:pPr>
      <w:r>
        <w:rPr>
          <w:rFonts w:eastAsia="仿宋_GB2312"/>
          <w:color w:val="000000"/>
          <w:szCs w:val="32"/>
        </w:rPr>
        <w:t>联合监管机制对出入境特殊物品试点单位开展风险评估并落实监管。</w:t>
      </w:r>
    </w:p>
    <w:p w:rsidR="00DE26EC">
      <w:pPr>
        <w:widowControl/>
        <w:adjustRightInd w:val="0"/>
        <w:snapToGrid w:val="0"/>
        <w:spacing w:line="560" w:lineRule="exact"/>
        <w:ind w:firstLine="640" w:firstLineChars="200"/>
        <w:rPr>
          <w:rFonts w:eastAsia="黑体"/>
          <w:color w:val="000000"/>
          <w:kern w:val="0"/>
          <w:szCs w:val="32"/>
        </w:rPr>
      </w:pPr>
      <w:r>
        <w:rPr>
          <w:rFonts w:eastAsia="黑体"/>
          <w:color w:val="000000"/>
          <w:kern w:val="0"/>
          <w:szCs w:val="32"/>
        </w:rPr>
        <w:t>二、申报主体资格</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（一）范围</w:t>
      </w:r>
    </w:p>
    <w:p w:rsidR="00DE26EC">
      <w:pPr>
        <w:adjustRightInd w:val="0"/>
        <w:snapToGrid w:val="0"/>
        <w:spacing w:line="560" w:lineRule="exact"/>
        <w:ind w:firstLine="640" w:firstLineChars="200"/>
        <w:rPr>
          <w:rFonts w:eastAsia="仿宋_GB2312"/>
          <w:color w:val="000000"/>
          <w:szCs w:val="32"/>
        </w:rPr>
      </w:pPr>
      <w:r>
        <w:rPr>
          <w:rFonts w:eastAsia="仿宋_GB2312"/>
          <w:bCs/>
          <w:color w:val="000000"/>
          <w:szCs w:val="32"/>
        </w:rPr>
        <w:t>在太仓市注册成立并在太仓市试点使用出入境特殊物品的企事业单位。</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（二）生物安全管理体系</w:t>
      </w:r>
    </w:p>
    <w:p w:rsidR="00DE26EC">
      <w:pPr>
        <w:adjustRightInd w:val="0"/>
        <w:snapToGrid w:val="0"/>
        <w:spacing w:line="560" w:lineRule="exact"/>
        <w:ind w:firstLine="640" w:firstLineChars="200"/>
        <w:rPr>
          <w:rFonts w:eastAsia="仿宋_GB2312"/>
          <w:color w:val="000000"/>
          <w:szCs w:val="32"/>
        </w:rPr>
      </w:pPr>
      <w:r>
        <w:rPr>
          <w:rFonts w:eastAsia="仿宋_GB2312"/>
          <w:color w:val="000000"/>
          <w:szCs w:val="32"/>
        </w:rPr>
        <w:t>试点单位应具有二级及以上级别病原微生物实验室资质及生物安全管理体系，具备特殊物品研发、生产、运输、储存、销售和</w:t>
      </w:r>
      <w:r>
        <w:rPr>
          <w:rFonts w:eastAsia="仿宋_GB2312"/>
          <w:bCs/>
          <w:color w:val="000000"/>
          <w:kern w:val="0"/>
          <w:szCs w:val="32"/>
        </w:rPr>
        <w:t>处置等环节风险控制及合理使用</w:t>
      </w:r>
      <w:r>
        <w:rPr>
          <w:rFonts w:eastAsia="仿宋_GB2312"/>
          <w:color w:val="000000"/>
          <w:szCs w:val="32"/>
        </w:rPr>
        <w:t>全流程追溯的信息管理体系，具备条件的应接入特殊物品联合监管平台。</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（三）特殊物品出入境经验</w:t>
      </w:r>
    </w:p>
    <w:p w:rsidR="00DE26EC">
      <w:pPr>
        <w:adjustRightInd w:val="0"/>
        <w:snapToGrid w:val="0"/>
        <w:spacing w:line="560" w:lineRule="exact"/>
        <w:ind w:firstLine="640" w:firstLineChars="200"/>
        <w:rPr>
          <w:rFonts w:eastAsia="仿宋_GB2312"/>
          <w:color w:val="000000"/>
          <w:szCs w:val="32"/>
        </w:rPr>
      </w:pPr>
      <w:r>
        <w:rPr>
          <w:rFonts w:eastAsia="仿宋_GB2312"/>
          <w:color w:val="000000"/>
          <w:szCs w:val="32"/>
        </w:rPr>
        <w:t>试点单位应具有</w:t>
      </w:r>
      <w:r>
        <w:rPr>
          <w:rFonts w:eastAsia="仿宋_GB2312"/>
          <w:color w:val="000000"/>
          <w:szCs w:val="32"/>
        </w:rPr>
        <w:t>1</w:t>
      </w:r>
      <w:r>
        <w:rPr>
          <w:rFonts w:eastAsia="仿宋_GB2312"/>
          <w:color w:val="000000"/>
          <w:szCs w:val="32"/>
        </w:rPr>
        <w:t>年内</w:t>
      </w:r>
      <w:r>
        <w:rPr>
          <w:rFonts w:eastAsia="仿宋_GB2312"/>
          <w:color w:val="000000"/>
          <w:szCs w:val="32"/>
        </w:rPr>
        <w:t>10</w:t>
      </w:r>
      <w:r>
        <w:rPr>
          <w:rFonts w:eastAsia="仿宋_GB2312"/>
          <w:color w:val="000000"/>
          <w:szCs w:val="32"/>
        </w:rPr>
        <w:t>次以上的出入境特殊物品经验，并已建立完善的特殊物品生物安全和风险管理体系。试点单位须建立健全内控制度</w:t>
      </w:r>
      <w:r>
        <w:rPr>
          <w:rFonts w:eastAsia="仿宋_GB2312"/>
          <w:bCs/>
          <w:color w:val="000000"/>
          <w:szCs w:val="32"/>
        </w:rPr>
        <w:t>及自我风险评估报告</w:t>
      </w:r>
      <w:r>
        <w:rPr>
          <w:rFonts w:eastAsia="仿宋_GB2312"/>
          <w:color w:val="000000"/>
          <w:szCs w:val="32"/>
        </w:rPr>
        <w:t>，指定专人负责出入境特殊物品</w:t>
      </w:r>
      <w:r>
        <w:rPr>
          <w:rFonts w:eastAsia="仿宋_GB2312"/>
          <w:color w:val="000000"/>
          <w:szCs w:val="32"/>
        </w:rPr>
        <w:t>管理工作，建立专用台账。</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（四）业务规模及信用情况</w:t>
      </w:r>
    </w:p>
    <w:p w:rsidR="00DE26EC">
      <w:pPr>
        <w:widowControl/>
        <w:spacing w:line="560" w:lineRule="exact"/>
        <w:ind w:firstLine="640" w:firstLineChars="200"/>
        <w:rPr>
          <w:rFonts w:eastAsia="仿宋_GB2312"/>
          <w:bCs/>
          <w:color w:val="000000"/>
          <w:szCs w:val="32"/>
        </w:rPr>
      </w:pPr>
      <w:r>
        <w:rPr>
          <w:rFonts w:eastAsia="仿宋_GB2312"/>
          <w:color w:val="000000"/>
          <w:szCs w:val="32"/>
        </w:rPr>
        <w:t>试点单位具备与申报内容相匹配的业务规模、研发技术和项目经验，有良好的信用记录，</w:t>
      </w:r>
      <w:r>
        <w:rPr>
          <w:rFonts w:eastAsia="仿宋_GB2312"/>
          <w:bCs/>
          <w:color w:val="000000"/>
          <w:szCs w:val="32"/>
        </w:rPr>
        <w:t>近两年内无重大失信行为（重大失信行为包括：存在行政处罚、列入经营异常名录信息和列入严重违法失信名单信息），无在办案件；设立未满两年的，应自设立之日起无失信或违法违规行为。</w:t>
      </w:r>
    </w:p>
    <w:p w:rsidR="00DE26EC">
      <w:pPr>
        <w:widowControl/>
        <w:adjustRightInd w:val="0"/>
        <w:snapToGrid w:val="0"/>
        <w:spacing w:line="560" w:lineRule="exact"/>
        <w:ind w:firstLine="640" w:firstLineChars="200"/>
        <w:rPr>
          <w:rFonts w:eastAsia="黑体"/>
          <w:color w:val="000000"/>
          <w:kern w:val="0"/>
          <w:szCs w:val="32"/>
        </w:rPr>
      </w:pPr>
      <w:r>
        <w:rPr>
          <w:rFonts w:eastAsia="黑体"/>
          <w:color w:val="000000"/>
          <w:kern w:val="0"/>
          <w:szCs w:val="32"/>
        </w:rPr>
        <w:t>三、试点单位主体责任</w:t>
      </w:r>
    </w:p>
    <w:p w:rsidR="00DE26EC">
      <w:pPr>
        <w:widowControl/>
        <w:spacing w:line="560" w:lineRule="exact"/>
        <w:ind w:firstLine="640" w:firstLineChars="200"/>
        <w:rPr>
          <w:rFonts w:eastAsia="仿宋_GB2312"/>
          <w:bCs/>
          <w:color w:val="000000"/>
          <w:szCs w:val="32"/>
        </w:rPr>
      </w:pPr>
      <w:r>
        <w:rPr>
          <w:rFonts w:eastAsia="仿宋_GB2312"/>
          <w:bCs/>
          <w:color w:val="000000"/>
          <w:szCs w:val="32"/>
        </w:rPr>
        <w:t>试点单位应在出入境特殊物品以下关键流程中，严格按照生物安全实验室标准、</w:t>
      </w:r>
      <w:r>
        <w:rPr>
          <w:rFonts w:eastAsia="仿宋_GB2312"/>
          <w:bCs/>
          <w:color w:val="000000"/>
          <w:szCs w:val="32"/>
        </w:rPr>
        <w:t>EHS</w:t>
      </w:r>
      <w:r>
        <w:rPr>
          <w:rFonts w:eastAsia="仿宋_GB2312"/>
          <w:bCs/>
          <w:color w:val="000000"/>
          <w:szCs w:val="32"/>
        </w:rPr>
        <w:t>管理体系、</w:t>
      </w:r>
      <w:r>
        <w:rPr>
          <w:rFonts w:eastAsia="仿宋_GB2312"/>
          <w:bCs/>
          <w:color w:val="000000"/>
          <w:szCs w:val="32"/>
        </w:rPr>
        <w:t>GMP</w:t>
      </w:r>
      <w:r>
        <w:rPr>
          <w:rFonts w:eastAsia="仿宋_GB2312"/>
          <w:bCs/>
          <w:color w:val="000000"/>
          <w:szCs w:val="32"/>
        </w:rPr>
        <w:t>要求，依托视频监控、追溯等系统，加强安全和风险管理。</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（一）物流运输过程管理</w:t>
      </w:r>
    </w:p>
    <w:p w:rsidR="00DE26EC">
      <w:pPr>
        <w:widowControl/>
        <w:spacing w:line="560" w:lineRule="exact"/>
        <w:ind w:firstLine="640" w:firstLineChars="200"/>
        <w:rPr>
          <w:rFonts w:eastAsia="仿宋_GB2312"/>
          <w:bCs/>
          <w:color w:val="000000"/>
          <w:szCs w:val="32"/>
        </w:rPr>
      </w:pPr>
      <w:r>
        <w:rPr>
          <w:rFonts w:eastAsia="仿宋_GB2312"/>
          <w:bCs/>
          <w:color w:val="000000"/>
          <w:szCs w:val="32"/>
        </w:rPr>
        <w:t>试点范围内的出入境特殊物品物流运输过程均应采用封签方式以保证全程封装完好。在运输开始和结束节点，都须有包装完整性的核对检查，并保存记录。</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（二）研发和生产过程管理</w:t>
      </w:r>
    </w:p>
    <w:p w:rsidR="00DE26EC">
      <w:pPr>
        <w:widowControl/>
        <w:spacing w:line="560" w:lineRule="exact"/>
        <w:ind w:firstLine="640" w:firstLineChars="200"/>
        <w:rPr>
          <w:rFonts w:eastAsia="仿宋_GB2312"/>
          <w:bCs/>
          <w:color w:val="000000"/>
          <w:szCs w:val="32"/>
        </w:rPr>
      </w:pPr>
      <w:r>
        <w:rPr>
          <w:rFonts w:eastAsia="仿宋_GB2312"/>
          <w:bCs/>
          <w:color w:val="000000"/>
          <w:szCs w:val="32"/>
        </w:rPr>
        <w:t>试点单位应当建立出入境特殊物品入库、存储、取样、生产制备、包装、出库以及场内运输各关键环节的风险控制措施，明确责任部门和责任人员，并定期进行生物安全培训、演练和自我评估。</w:t>
      </w:r>
    </w:p>
    <w:p w:rsidR="00DE26EC">
      <w:pPr>
        <w:adjustRightInd w:val="0"/>
        <w:snapToGrid w:val="0"/>
        <w:ind w:firstLine="640" w:firstLineChars="200"/>
        <w:rPr>
          <w:rFonts w:eastAsia="楷体_GB2312"/>
          <w:color w:val="000000"/>
          <w:szCs w:val="32"/>
        </w:rPr>
      </w:pPr>
      <w:r>
        <w:rPr>
          <w:rFonts w:eastAsia="楷体_GB2312"/>
          <w:color w:val="000000"/>
          <w:szCs w:val="32"/>
        </w:rPr>
        <w:t>（三）视频监控管理</w:t>
      </w:r>
    </w:p>
    <w:p w:rsidR="00DE26EC">
      <w:pPr>
        <w:widowControl/>
        <w:spacing w:line="560" w:lineRule="exact"/>
        <w:ind w:firstLine="640" w:firstLineChars="200"/>
        <w:rPr>
          <w:rFonts w:eastAsia="仿宋_GB2312"/>
          <w:bCs/>
          <w:color w:val="000000"/>
          <w:szCs w:val="32"/>
        </w:rPr>
      </w:pPr>
      <w:r>
        <w:rPr>
          <w:rFonts w:eastAsia="仿宋_GB2312"/>
          <w:bCs/>
          <w:color w:val="000000"/>
          <w:szCs w:val="32"/>
        </w:rPr>
        <w:t>试点单位通过建立出入境特殊物品出入库和销毁视频监控系统，设立数据备份系统，保证出入境特殊物品在试点单位内部的视频监控能力。</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（四）追溯管理</w:t>
      </w:r>
    </w:p>
    <w:p w:rsidR="00DE26EC">
      <w:pPr>
        <w:widowControl/>
        <w:spacing w:line="560" w:lineRule="exact"/>
        <w:ind w:firstLine="640" w:firstLineChars="200"/>
        <w:rPr>
          <w:rFonts w:eastAsia="仿宋_GB2312"/>
          <w:bCs/>
          <w:color w:val="000000"/>
          <w:szCs w:val="32"/>
        </w:rPr>
      </w:pPr>
      <w:r>
        <w:rPr>
          <w:rFonts w:eastAsia="仿宋_GB2312"/>
          <w:bCs/>
          <w:color w:val="000000"/>
          <w:szCs w:val="32"/>
        </w:rPr>
        <w:t>试点单位应建立出入境特殊物品追溯系统，实现出入境特殊物品从出入境到废弃所有环节追溯能力，保证出入境特殊物品信息、批号、批记录等的一致性，确保物流运输、研发生产全程可追溯。</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（五）生物安全管理</w:t>
      </w:r>
    </w:p>
    <w:p w:rsidR="00DE26EC">
      <w:pPr>
        <w:widowControl/>
        <w:spacing w:line="560" w:lineRule="exact"/>
        <w:ind w:firstLine="640" w:firstLineChars="200"/>
        <w:rPr>
          <w:rFonts w:eastAsia="仿宋_GB2312"/>
          <w:bCs/>
          <w:color w:val="000000"/>
          <w:szCs w:val="32"/>
        </w:rPr>
      </w:pPr>
      <w:r>
        <w:rPr>
          <w:rFonts w:eastAsia="仿宋_GB2312"/>
          <w:bCs/>
          <w:color w:val="000000"/>
          <w:szCs w:val="32"/>
        </w:rPr>
        <w:t>试点单位应具备与开展出入境特殊物品操作活动相适应的生物安全实验室资质；应建立生物安全实验室管理体系，包括明确生物安全负责人，建立健全生物安全管理制度，包括但不限于防泄露、丢失等应急预案及应急演练等；应规范研发生产活动，按照生物安全实验室标准、</w:t>
      </w:r>
      <w:r>
        <w:rPr>
          <w:rFonts w:eastAsia="仿宋_GB2312"/>
          <w:bCs/>
          <w:color w:val="000000"/>
          <w:szCs w:val="32"/>
        </w:rPr>
        <w:t>EHS</w:t>
      </w:r>
      <w:r>
        <w:rPr>
          <w:rFonts w:eastAsia="仿宋_GB2312"/>
          <w:bCs/>
          <w:color w:val="000000"/>
          <w:szCs w:val="32"/>
        </w:rPr>
        <w:t>管理体系进行严格管理，包括实验室人员准入，消毒隔离措施，生物废弃物处置，生物安全柜等设施设备维护管理、人员培训和个人防护等。</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（六）资质及质量管理体系</w:t>
      </w:r>
    </w:p>
    <w:p w:rsidR="00DE26EC">
      <w:pPr>
        <w:widowControl/>
        <w:spacing w:line="560" w:lineRule="exact"/>
        <w:ind w:firstLine="640" w:firstLineChars="200"/>
        <w:rPr>
          <w:rFonts w:eastAsia="仿宋_GB2312"/>
          <w:bCs/>
          <w:color w:val="000000"/>
          <w:szCs w:val="32"/>
        </w:rPr>
      </w:pPr>
      <w:r>
        <w:rPr>
          <w:rFonts w:eastAsia="仿宋_GB2312"/>
          <w:bCs/>
          <w:color w:val="000000"/>
          <w:szCs w:val="32"/>
        </w:rPr>
        <w:t>试点单位应建立完善的生产质量保证体系，严格对研发、生产、检验等进行全程管理。</w:t>
      </w:r>
    </w:p>
    <w:p w:rsidR="00DE26EC">
      <w:pPr>
        <w:widowControl/>
        <w:adjustRightInd w:val="0"/>
        <w:snapToGrid w:val="0"/>
        <w:spacing w:line="560" w:lineRule="exact"/>
        <w:ind w:firstLine="640" w:firstLineChars="200"/>
        <w:rPr>
          <w:rFonts w:eastAsia="黑体"/>
          <w:color w:val="000000"/>
          <w:kern w:val="0"/>
          <w:szCs w:val="32"/>
        </w:rPr>
      </w:pPr>
      <w:r>
        <w:rPr>
          <w:rFonts w:eastAsia="黑体"/>
          <w:color w:val="000000"/>
          <w:kern w:val="0"/>
          <w:szCs w:val="32"/>
        </w:rPr>
        <w:t>四、申报材料清单及要求</w:t>
      </w:r>
    </w:p>
    <w:p w:rsidR="00DE26EC">
      <w:pPr>
        <w:adjustRightInd w:val="0"/>
        <w:snapToGrid w:val="0"/>
        <w:spacing w:line="560" w:lineRule="exact"/>
        <w:ind w:firstLine="640" w:firstLineChars="200"/>
        <w:rPr>
          <w:rFonts w:eastAsia="仿宋_GB2312"/>
          <w:color w:val="000000"/>
          <w:szCs w:val="32"/>
        </w:rPr>
      </w:pPr>
      <w:r>
        <w:rPr>
          <w:rFonts w:eastAsia="仿宋_GB2312"/>
          <w:color w:val="000000"/>
          <w:szCs w:val="32"/>
        </w:rPr>
        <w:t>申请试点单位</w:t>
      </w:r>
      <w:r>
        <w:rPr>
          <w:rFonts w:eastAsia="仿宋_GB2312"/>
          <w:bCs/>
          <w:color w:val="000000"/>
          <w:szCs w:val="32"/>
        </w:rPr>
        <w:t>将申报材料提交至联合监管机制办公室（市商务局），配合联合监管机制开展评审评估。</w:t>
      </w:r>
    </w:p>
    <w:p w:rsidR="00DE26EC">
      <w:pPr>
        <w:pStyle w:val="CommentText"/>
        <w:adjustRightInd w:val="0"/>
        <w:snapToGrid w:val="0"/>
        <w:spacing w:line="560" w:lineRule="exact"/>
        <w:ind w:firstLine="640" w:firstLineChars="200"/>
        <w:rPr>
          <w:rFonts w:ascii="Times New Roman" w:eastAsia="仿宋_GB2312" w:hAnsi="Times New Roman"/>
          <w:color w:val="000000"/>
          <w:sz w:val="32"/>
          <w:szCs w:val="32"/>
        </w:rPr>
      </w:pPr>
      <w:r>
        <w:rPr>
          <w:rFonts w:ascii="Times New Roman" w:eastAsia="仿宋_GB2312" w:hAnsi="Times New Roman"/>
          <w:color w:val="000000"/>
          <w:sz w:val="32"/>
          <w:szCs w:val="32"/>
        </w:rPr>
        <w:t>申报材料包括：《太仓市出入境特殊物品试点单位申请表》，申请单位资质、凭证类资料复印或扫描件清单等，包含首次拟出入境特殊物品清单。</w:t>
      </w:r>
    </w:p>
    <w:p w:rsidR="00DE26EC">
      <w:pPr>
        <w:adjustRightInd w:val="0"/>
        <w:snapToGrid w:val="0"/>
        <w:spacing w:line="560" w:lineRule="exact"/>
        <w:ind w:firstLine="640" w:firstLineChars="200"/>
        <w:rPr>
          <w:rFonts w:eastAsia="仿宋_GB2312"/>
          <w:color w:val="000000"/>
          <w:szCs w:val="32"/>
        </w:rPr>
      </w:pPr>
      <w:r>
        <w:rPr>
          <w:rFonts w:eastAsia="仿宋_GB2312"/>
          <w:color w:val="000000"/>
          <w:szCs w:val="32"/>
        </w:rPr>
        <w:t>申报材料形式要求：《太仓市出入境特殊物品试点单位申请表》需单位法定代表人签字并盖单位公章，其他材料加盖单位公章。申报材料可以是</w:t>
      </w:r>
      <w:r>
        <w:rPr>
          <w:rFonts w:eastAsia="仿宋_GB2312"/>
          <w:color w:val="000000"/>
          <w:szCs w:val="32"/>
        </w:rPr>
        <w:t>pdf</w:t>
      </w:r>
      <w:r>
        <w:rPr>
          <w:rFonts w:eastAsia="仿宋_GB2312"/>
          <w:color w:val="000000"/>
          <w:szCs w:val="32"/>
        </w:rPr>
        <w:t>扫描文件或纸质文本。</w:t>
      </w:r>
    </w:p>
    <w:p w:rsidR="00DE26EC">
      <w:pPr>
        <w:widowControl/>
        <w:adjustRightInd w:val="0"/>
        <w:snapToGrid w:val="0"/>
        <w:spacing w:line="560" w:lineRule="exact"/>
        <w:ind w:firstLine="640" w:firstLineChars="200"/>
        <w:rPr>
          <w:rFonts w:eastAsia="黑体"/>
          <w:color w:val="000000"/>
          <w:kern w:val="0"/>
          <w:szCs w:val="32"/>
        </w:rPr>
      </w:pPr>
      <w:r>
        <w:rPr>
          <w:rFonts w:eastAsia="黑体"/>
          <w:color w:val="000000"/>
          <w:kern w:val="0"/>
          <w:szCs w:val="32"/>
        </w:rPr>
        <w:t>五、认定程序</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（一）单位申请</w:t>
      </w:r>
    </w:p>
    <w:p w:rsidR="00DE26EC">
      <w:pPr>
        <w:adjustRightInd w:val="0"/>
        <w:snapToGrid w:val="0"/>
        <w:spacing w:line="560" w:lineRule="exact"/>
        <w:ind w:firstLine="640" w:firstLineChars="200"/>
        <w:rPr>
          <w:rFonts w:eastAsia="仿宋_GB2312"/>
          <w:color w:val="000000"/>
          <w:szCs w:val="32"/>
        </w:rPr>
      </w:pPr>
      <w:r>
        <w:rPr>
          <w:rFonts w:eastAsia="仿宋_GB2312"/>
          <w:color w:val="000000"/>
          <w:szCs w:val="32"/>
        </w:rPr>
        <w:t>试点单位准备完善的申报材料向联合监管机制提出纳入试点申请，并</w:t>
      </w:r>
      <w:r>
        <w:rPr>
          <w:rFonts w:eastAsia="仿宋_GB2312"/>
          <w:bCs/>
          <w:color w:val="000000"/>
          <w:szCs w:val="32"/>
        </w:rPr>
        <w:t>将申报材料提交至联合监管机制办公室（市商务局），也可</w:t>
      </w:r>
      <w:r>
        <w:rPr>
          <w:rFonts w:eastAsia="仿宋_GB2312"/>
          <w:szCs w:val="32"/>
        </w:rPr>
        <w:t>通过线上提交申请</w:t>
      </w:r>
      <w:r>
        <w:rPr>
          <w:rFonts w:eastAsia="仿宋_GB2312"/>
          <w:bCs/>
          <w:color w:val="000000"/>
          <w:szCs w:val="32"/>
        </w:rPr>
        <w:t>。</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（二）联合监管机制受理</w:t>
      </w:r>
    </w:p>
    <w:p w:rsidR="00DE26EC">
      <w:pPr>
        <w:adjustRightInd w:val="0"/>
        <w:snapToGrid w:val="0"/>
        <w:spacing w:line="560" w:lineRule="exact"/>
        <w:ind w:firstLine="640" w:firstLineChars="200"/>
        <w:rPr>
          <w:rFonts w:eastAsia="仿宋_GB2312"/>
          <w:bCs/>
          <w:color w:val="000000"/>
          <w:szCs w:val="32"/>
        </w:rPr>
      </w:pPr>
      <w:r>
        <w:rPr>
          <w:rFonts w:eastAsia="仿宋_GB2312"/>
          <w:bCs/>
          <w:color w:val="000000"/>
          <w:szCs w:val="32"/>
        </w:rPr>
        <w:t>联合监管机制办公室（市商务局）受理申请并协调各成员单位开展联合监管机制工作。</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（三）专家组评估</w:t>
      </w:r>
    </w:p>
    <w:p w:rsidR="00DE26EC">
      <w:pPr>
        <w:adjustRightInd w:val="0"/>
        <w:snapToGrid w:val="0"/>
        <w:spacing w:line="560" w:lineRule="exact"/>
        <w:ind w:firstLine="640" w:firstLineChars="200"/>
        <w:rPr>
          <w:rFonts w:eastAsia="仿宋_GB2312"/>
          <w:color w:val="000000"/>
          <w:szCs w:val="32"/>
        </w:rPr>
      </w:pPr>
      <w:r>
        <w:rPr>
          <w:rFonts w:eastAsia="仿宋_GB2312"/>
          <w:color w:val="000000"/>
          <w:kern w:val="0"/>
          <w:szCs w:val="32"/>
        </w:rPr>
        <w:t>联合监管机制可组织</w:t>
      </w:r>
      <w:r>
        <w:rPr>
          <w:rFonts w:eastAsia="仿宋_GB2312"/>
          <w:color w:val="000000"/>
          <w:szCs w:val="32"/>
        </w:rPr>
        <w:t>专家或委托第三方机构组织专家开展风险评估，以线上或线下会议或阅卷形式进行评估、审查，必要时，进行视频调查或实地勘察，形成专家评估意见。</w:t>
      </w:r>
      <w:r>
        <w:rPr>
          <w:rFonts w:eastAsia="仿宋_GB2312"/>
          <w:szCs w:val="32"/>
        </w:rPr>
        <w:t>专家</w:t>
      </w:r>
      <w:r>
        <w:rPr>
          <w:rFonts w:eastAsia="仿宋_GB2312"/>
          <w:szCs w:val="32"/>
          <w:lang w:val="zh-TW" w:eastAsia="zh-TW"/>
        </w:rPr>
        <w:t>需从苏州市级联合监管机制组建的专家库中抽取。</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（四）综合评估</w:t>
      </w:r>
    </w:p>
    <w:p w:rsidR="00DE26EC">
      <w:pPr>
        <w:adjustRightInd w:val="0"/>
        <w:snapToGrid w:val="0"/>
        <w:spacing w:line="560" w:lineRule="exact"/>
        <w:ind w:firstLine="640" w:firstLineChars="200"/>
        <w:rPr>
          <w:rFonts w:eastAsia="仿宋_GB2312"/>
          <w:color w:val="000000"/>
          <w:szCs w:val="32"/>
        </w:rPr>
      </w:pPr>
      <w:r>
        <w:rPr>
          <w:rFonts w:eastAsia="仿宋_GB2312"/>
          <w:bCs/>
          <w:color w:val="000000"/>
          <w:szCs w:val="32"/>
        </w:rPr>
        <w:t>联合监管机制办公室（市商务局）</w:t>
      </w:r>
      <w:r>
        <w:rPr>
          <w:rFonts w:eastAsia="仿宋_GB2312"/>
          <w:color w:val="000000"/>
          <w:szCs w:val="32"/>
        </w:rPr>
        <w:t>召集成员单位联合确认并出</w:t>
      </w:r>
      <w:r>
        <w:rPr>
          <w:rFonts w:eastAsia="仿宋_GB2312"/>
          <w:color w:val="000000"/>
          <w:szCs w:val="32"/>
        </w:rPr>
        <w:t>具综合评估意见并向苏州市级联合监管机制办公室报送。综合评估过程中，如存在需整改事项的，试点单位应完成对应整改，形成整改报告并</w:t>
      </w:r>
      <w:r>
        <w:rPr>
          <w:rFonts w:eastAsia="仿宋_GB2312"/>
          <w:color w:val="000000"/>
          <w:szCs w:val="32"/>
        </w:rPr>
        <w:t>报涉及</w:t>
      </w:r>
      <w:r>
        <w:rPr>
          <w:rFonts w:eastAsia="仿宋_GB2312"/>
          <w:color w:val="000000"/>
          <w:szCs w:val="32"/>
        </w:rPr>
        <w:t>的监管部门认可后方可通过评估。对未通过的，由联合监管机制相关部门给予明确答复并说明理由。</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（五）出具名单</w:t>
      </w:r>
    </w:p>
    <w:p w:rsidR="00DE26EC">
      <w:pPr>
        <w:adjustRightInd w:val="0"/>
        <w:snapToGrid w:val="0"/>
        <w:spacing w:line="560" w:lineRule="exact"/>
        <w:ind w:firstLine="640" w:firstLineChars="200"/>
        <w:rPr>
          <w:rFonts w:eastAsia="仿宋_GB2312"/>
          <w:color w:val="000000"/>
          <w:szCs w:val="32"/>
        </w:rPr>
      </w:pPr>
      <w:r>
        <w:rPr>
          <w:rFonts w:eastAsia="仿宋_GB2312"/>
          <w:color w:val="000000"/>
          <w:szCs w:val="32"/>
        </w:rPr>
        <w:t>苏州市级联合监管机制将通过综合评估的单位纳入《特殊物品联合监管机制试点单位名单》（</w:t>
      </w:r>
      <w:r>
        <w:rPr>
          <w:rFonts w:eastAsia="仿宋_GB2312"/>
          <w:color w:val="000000"/>
          <w:szCs w:val="32"/>
        </w:rPr>
        <w:t>“</w:t>
      </w:r>
      <w:r>
        <w:rPr>
          <w:rFonts w:eastAsia="仿宋_GB2312"/>
          <w:color w:val="000000"/>
          <w:szCs w:val="32"/>
        </w:rPr>
        <w:t>白名单</w:t>
      </w:r>
      <w:r>
        <w:rPr>
          <w:rFonts w:eastAsia="仿宋_GB2312"/>
          <w:color w:val="000000"/>
          <w:szCs w:val="32"/>
        </w:rPr>
        <w:t>”</w:t>
      </w:r>
      <w:r>
        <w:rPr>
          <w:rFonts w:eastAsia="仿宋_GB2312"/>
          <w:color w:val="000000"/>
          <w:szCs w:val="32"/>
        </w:rPr>
        <w:t>）管理。名单由苏州市级联合监管机制办公室（市商务局）对外公布。</w:t>
      </w:r>
    </w:p>
    <w:p w:rsidR="00DE26EC">
      <w:pPr>
        <w:adjustRightInd w:val="0"/>
        <w:snapToGrid w:val="0"/>
        <w:spacing w:line="560" w:lineRule="exact"/>
        <w:ind w:firstLine="640" w:firstLineChars="200"/>
        <w:rPr>
          <w:rFonts w:eastAsia="楷体_GB2312"/>
          <w:color w:val="000000"/>
          <w:szCs w:val="32"/>
        </w:rPr>
      </w:pPr>
      <w:r>
        <w:rPr>
          <w:rFonts w:eastAsia="楷体_GB2312"/>
          <w:color w:val="000000"/>
          <w:szCs w:val="32"/>
        </w:rPr>
        <w:t>（六）名单管理</w:t>
      </w:r>
    </w:p>
    <w:p w:rsidR="00DE26EC">
      <w:pPr>
        <w:adjustRightInd w:val="0"/>
        <w:snapToGrid w:val="0"/>
        <w:spacing w:line="560" w:lineRule="exact"/>
        <w:ind w:firstLine="640" w:firstLineChars="200"/>
        <w:rPr>
          <w:rFonts w:eastAsia="仿宋_GB2312"/>
          <w:color w:val="000000"/>
          <w:szCs w:val="32"/>
        </w:rPr>
      </w:pPr>
      <w:r>
        <w:rPr>
          <w:rFonts w:eastAsia="仿宋_GB2312"/>
          <w:color w:val="000000"/>
          <w:szCs w:val="32"/>
        </w:rPr>
        <w:t>试点单位资格有效期为</w:t>
      </w:r>
      <w:r>
        <w:rPr>
          <w:rFonts w:eastAsia="仿宋_GB2312"/>
          <w:color w:val="000000"/>
          <w:szCs w:val="32"/>
        </w:rPr>
        <w:t>2</w:t>
      </w:r>
      <w:r>
        <w:rPr>
          <w:rFonts w:eastAsia="仿宋_GB2312"/>
          <w:color w:val="000000"/>
          <w:szCs w:val="32"/>
        </w:rPr>
        <w:t>年。联合监管机制根据实际情况动态调整试点单位名单。</w:t>
      </w:r>
    </w:p>
    <w:p w:rsidR="00DE26EC">
      <w:pPr>
        <w:widowControl/>
        <w:adjustRightInd w:val="0"/>
        <w:snapToGrid w:val="0"/>
        <w:spacing w:line="560" w:lineRule="exact"/>
        <w:ind w:firstLine="640" w:firstLineChars="200"/>
        <w:rPr>
          <w:rFonts w:eastAsia="黑体"/>
          <w:color w:val="000000"/>
          <w:kern w:val="0"/>
          <w:szCs w:val="32"/>
        </w:rPr>
      </w:pPr>
      <w:r>
        <w:rPr>
          <w:rFonts w:eastAsia="黑体"/>
          <w:color w:val="000000"/>
          <w:kern w:val="0"/>
          <w:szCs w:val="32"/>
        </w:rPr>
        <w:t>六、试点资质的中止和退出</w:t>
      </w:r>
    </w:p>
    <w:p w:rsidR="00DE26EC">
      <w:pPr>
        <w:adjustRightInd w:val="0"/>
        <w:snapToGrid w:val="0"/>
        <w:spacing w:line="560" w:lineRule="exact"/>
        <w:ind w:firstLine="640" w:firstLineChars="200"/>
        <w:rPr>
          <w:rFonts w:eastAsia="仿宋_GB2312"/>
          <w:color w:val="000000"/>
          <w:szCs w:val="32"/>
        </w:rPr>
      </w:pPr>
      <w:r>
        <w:rPr>
          <w:rFonts w:eastAsia="仿宋_GB2312"/>
          <w:color w:val="000000"/>
          <w:szCs w:val="32"/>
        </w:rPr>
        <w:t>联合监管机制对试点单位进行事中、事后风险评估，联合监管机制各成员单位依据各自职责，对试点单位的出</w:t>
      </w:r>
      <w:r>
        <w:rPr>
          <w:rFonts w:eastAsia="仿宋_GB2312"/>
          <w:szCs w:val="32"/>
        </w:rPr>
        <w:t>入境</w:t>
      </w:r>
      <w:r>
        <w:rPr>
          <w:rFonts w:eastAsia="仿宋_GB2312"/>
          <w:color w:val="000000"/>
          <w:szCs w:val="32"/>
        </w:rPr>
        <w:t>特殊物品加强日常监管和风险评估。</w:t>
      </w:r>
    </w:p>
    <w:p w:rsidR="00DE26EC">
      <w:pPr>
        <w:adjustRightInd w:val="0"/>
        <w:snapToGrid w:val="0"/>
        <w:spacing w:line="560" w:lineRule="exact"/>
        <w:ind w:firstLine="640" w:firstLineChars="200"/>
        <w:rPr>
          <w:rFonts w:eastAsia="仿宋_GB2312"/>
          <w:color w:val="000000"/>
          <w:kern w:val="0"/>
          <w:szCs w:val="32"/>
        </w:rPr>
      </w:pPr>
      <w:r>
        <w:rPr>
          <w:rFonts w:eastAsia="仿宋_GB2312"/>
          <w:color w:val="000000"/>
          <w:szCs w:val="32"/>
        </w:rPr>
        <w:t>（一）试点单位应履行生物安全主体责任，按照国家法律法规要求运输、储存、使用、废弃入境特殊物品，保证安全，接受社会监督，承担社会责任。</w:t>
      </w:r>
    </w:p>
    <w:p w:rsidR="00DE26EC">
      <w:pPr>
        <w:adjustRightInd w:val="0"/>
        <w:snapToGrid w:val="0"/>
        <w:spacing w:line="560" w:lineRule="exact"/>
        <w:ind w:firstLine="640" w:firstLineChars="200"/>
        <w:rPr>
          <w:rFonts w:eastAsia="仿宋_GB2312"/>
          <w:color w:val="000000"/>
          <w:kern w:val="0"/>
          <w:szCs w:val="32"/>
        </w:rPr>
      </w:pPr>
      <w:r>
        <w:rPr>
          <w:rFonts w:eastAsia="仿宋_GB2312"/>
          <w:color w:val="000000"/>
          <w:szCs w:val="32"/>
        </w:rPr>
        <w:t>（二）</w:t>
      </w:r>
      <w:r>
        <w:rPr>
          <w:rFonts w:eastAsia="仿宋_GB2312"/>
          <w:color w:val="000000"/>
          <w:kern w:val="0"/>
          <w:szCs w:val="32"/>
        </w:rPr>
        <w:t>联合监管机制成员单位在日常监管过程中若发现试点单位不符合监管要求的，由该成员单位出具限期整改通知。</w:t>
      </w:r>
      <w:r>
        <w:rPr>
          <w:rFonts w:eastAsia="仿宋_GB2312"/>
          <w:color w:val="000000"/>
          <w:szCs w:val="32"/>
        </w:rPr>
        <w:t>试点单位</w:t>
      </w:r>
      <w:r>
        <w:rPr>
          <w:rFonts w:eastAsia="仿宋_GB2312"/>
          <w:color w:val="000000"/>
          <w:kern w:val="0"/>
          <w:szCs w:val="32"/>
        </w:rPr>
        <w:t>在整改期间应暂停使用不符合监管要求的特殊物品，联合监管机制</w:t>
      </w:r>
      <w:r>
        <w:rPr>
          <w:rFonts w:eastAsia="仿宋_GB2312"/>
          <w:color w:val="000000"/>
          <w:kern w:val="0"/>
          <w:szCs w:val="32"/>
        </w:rPr>
        <w:t>暂停该试点单位</w:t>
      </w:r>
      <w:r>
        <w:rPr>
          <w:rFonts w:eastAsia="仿宋_GB2312"/>
          <w:bCs/>
          <w:color w:val="000000"/>
          <w:szCs w:val="32"/>
        </w:rPr>
        <w:t>的白名单资格</w:t>
      </w:r>
      <w:r>
        <w:rPr>
          <w:rFonts w:eastAsia="仿宋_GB2312"/>
          <w:color w:val="000000"/>
          <w:kern w:val="0"/>
          <w:szCs w:val="32"/>
        </w:rPr>
        <w:t>。整改完成并经相关成员单位确认符合要求后，恢复试点单位资格。</w:t>
      </w:r>
    </w:p>
    <w:p w:rsidR="00DE26EC">
      <w:pPr>
        <w:widowControl/>
        <w:spacing w:line="560" w:lineRule="exact"/>
        <w:ind w:firstLine="640" w:firstLineChars="200"/>
        <w:rPr>
          <w:rFonts w:eastAsia="仿宋_GB2312"/>
          <w:color w:val="000000"/>
          <w:szCs w:val="32"/>
        </w:rPr>
      </w:pPr>
      <w:r>
        <w:rPr>
          <w:rFonts w:eastAsia="仿宋_GB2312"/>
          <w:color w:val="000000"/>
          <w:szCs w:val="32"/>
        </w:rPr>
        <w:t>（三）试点单位有下列情形之一的，联合监管机制取消其试点资格，并予以公布：试点单位无法按要求完成整改，或存在严重违规、失信行为，违反国家法律法规的，经联合监管机制商定后，给予单位退出试点的决定，</w:t>
      </w:r>
      <w:r>
        <w:rPr>
          <w:rFonts w:eastAsia="仿宋_GB2312"/>
          <w:color w:val="000000"/>
          <w:szCs w:val="32"/>
        </w:rPr>
        <w:t>5</w:t>
      </w:r>
      <w:r>
        <w:rPr>
          <w:rFonts w:eastAsia="仿宋_GB2312"/>
          <w:color w:val="000000"/>
          <w:szCs w:val="32"/>
        </w:rPr>
        <w:t>年内不得再次申请。</w:t>
      </w:r>
    </w:p>
    <w:p w:rsidR="00DE26EC">
      <w:pPr>
        <w:pStyle w:val="BodyText"/>
        <w:spacing w:line="560" w:lineRule="exact"/>
        <w:rPr>
          <w:rFonts w:ascii="Times New Roman" w:hAnsi="Times New Roman" w:cs="Times New Roman"/>
          <w:lang w:val="en-US" w:bidi="ar-SA"/>
        </w:rPr>
      </w:pPr>
    </w:p>
    <w:p w:rsidR="00DE26EC">
      <w:pPr>
        <w:adjustRightInd w:val="0"/>
        <w:snapToGrid w:val="0"/>
        <w:spacing w:line="560" w:lineRule="exact"/>
        <w:ind w:firstLine="640" w:firstLineChars="200"/>
        <w:rPr>
          <w:rFonts w:eastAsia="仿宋_GB2312"/>
          <w:color w:val="000000"/>
          <w:szCs w:val="32"/>
        </w:rPr>
      </w:pPr>
      <w:r>
        <w:rPr>
          <w:rFonts w:eastAsia="仿宋_GB2312"/>
          <w:color w:val="000000"/>
          <w:szCs w:val="32"/>
        </w:rPr>
        <w:t>附件：</w:t>
      </w:r>
      <w:r>
        <w:rPr>
          <w:rFonts w:eastAsia="仿宋_GB2312"/>
          <w:color w:val="000000"/>
          <w:szCs w:val="32"/>
        </w:rPr>
        <w:t>1.1.</w:t>
      </w:r>
      <w:r>
        <w:rPr>
          <w:rFonts w:eastAsia="仿宋_GB2312"/>
          <w:color w:val="000000"/>
          <w:szCs w:val="32"/>
        </w:rPr>
        <w:t>太仓市出入境特殊物品试点单位申请表</w:t>
      </w:r>
    </w:p>
    <w:p w:rsidR="00DE26EC">
      <w:pPr>
        <w:pStyle w:val="BodyText"/>
        <w:spacing w:line="560" w:lineRule="exact"/>
        <w:rPr>
          <w:rFonts w:ascii="Times New Roman" w:hAnsi="Times New Roman" w:cs="Times New Roman"/>
          <w:lang w:val="en-US" w:bidi="ar-SA"/>
        </w:rPr>
      </w:pPr>
    </w:p>
    <w:p w:rsidR="00DE26EC">
      <w:pPr>
        <w:widowControl/>
        <w:spacing w:line="560" w:lineRule="exact"/>
        <w:rPr>
          <w:rFonts w:eastAsia="仿宋"/>
          <w:color w:val="000000"/>
          <w:szCs w:val="30"/>
        </w:rPr>
      </w:pPr>
      <w:r>
        <w:rPr>
          <w:rFonts w:eastAsia="仿宋"/>
          <w:color w:val="000000"/>
          <w:szCs w:val="32"/>
        </w:rPr>
        <w:br w:type="page"/>
      </w:r>
      <w:r>
        <w:rPr>
          <w:rFonts w:eastAsia="黑体"/>
          <w:color w:val="000000"/>
          <w:szCs w:val="30"/>
        </w:rPr>
        <w:t>附件</w:t>
      </w:r>
      <w:r>
        <w:rPr>
          <w:rFonts w:eastAsia="仿宋"/>
          <w:color w:val="000000"/>
          <w:szCs w:val="30"/>
        </w:rPr>
        <w:t>1.1</w:t>
      </w:r>
      <w:r w:rsidR="00B4154C">
        <w:rPr>
          <w:rFonts w:eastAsia="仿宋" w:hint="eastAsia"/>
          <w:color w:val="000000"/>
          <w:szCs w:val="30"/>
        </w:rPr>
        <w:t>：</w:t>
      </w:r>
    </w:p>
    <w:p w:rsidR="00DE26EC" w:rsidP="00B4154C">
      <w:pPr>
        <w:adjustRightInd w:val="0"/>
        <w:snapToGrid w:val="0"/>
        <w:spacing w:after="120" w:afterLines="50" w:line="680" w:lineRule="exact"/>
        <w:jc w:val="center"/>
        <w:rPr>
          <w:rFonts w:eastAsia="方正小标宋简体"/>
          <w:color w:val="000000"/>
          <w:sz w:val="44"/>
          <w:szCs w:val="44"/>
        </w:rPr>
      </w:pPr>
      <w:r>
        <w:rPr>
          <w:rFonts w:eastAsia="方正小标宋简体"/>
          <w:color w:val="000000"/>
          <w:sz w:val="44"/>
          <w:szCs w:val="44"/>
        </w:rPr>
        <w:t>太仓市出入境特殊物品试点单位申请表</w:t>
      </w:r>
    </w:p>
    <w:tbl>
      <w:tblPr>
        <w:tblW w:w="8897"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tblPr>
      <w:tblGrid>
        <w:gridCol w:w="525"/>
        <w:gridCol w:w="1710"/>
        <w:gridCol w:w="1448"/>
        <w:gridCol w:w="908"/>
        <w:gridCol w:w="1985"/>
        <w:gridCol w:w="2321"/>
      </w:tblGrid>
      <w:tr>
        <w:tblPrEx>
          <w:tblW w:w="8897"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tblPrEx>
        <w:trPr>
          <w:trHeight w:val="567"/>
          <w:jc w:val="center"/>
        </w:trPr>
        <w:tc>
          <w:tcPr>
            <w:tcW w:w="2235" w:type="dxa"/>
            <w:gridSpan w:val="2"/>
            <w:vMerge w:val="restart"/>
            <w:tcBorders>
              <w:top w:val="single" w:sz="4" w:space="0" w:color="auto"/>
              <w:left w:val="single" w:sz="4" w:space="0" w:color="auto"/>
              <w:bottom w:val="single" w:sz="4" w:space="0" w:color="auto"/>
              <w:right w:val="single" w:sz="4" w:space="0" w:color="auto"/>
            </w:tcBorders>
            <w:vAlign w:val="center"/>
          </w:tcPr>
          <w:p w:rsidR="00DE26EC">
            <w:pPr>
              <w:spacing w:line="580" w:lineRule="exact"/>
              <w:jc w:val="center"/>
              <w:rPr>
                <w:rFonts w:eastAsia="仿宋"/>
                <w:bCs/>
                <w:color w:val="000000"/>
                <w:sz w:val="28"/>
                <w:szCs w:val="28"/>
              </w:rPr>
            </w:pPr>
            <w:r>
              <w:rPr>
                <w:rFonts w:eastAsia="仿宋"/>
                <w:bCs/>
                <w:color w:val="000000"/>
                <w:sz w:val="28"/>
                <w:szCs w:val="28"/>
              </w:rPr>
              <w:t>申请单位</w:t>
            </w:r>
          </w:p>
        </w:tc>
        <w:tc>
          <w:tcPr>
            <w:tcW w:w="1448" w:type="dxa"/>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bCs/>
                <w:color w:val="000000"/>
                <w:sz w:val="28"/>
                <w:szCs w:val="28"/>
              </w:rPr>
            </w:pPr>
            <w:r>
              <w:rPr>
                <w:rFonts w:eastAsia="仿宋"/>
                <w:bCs/>
                <w:color w:val="000000"/>
                <w:sz w:val="28"/>
                <w:szCs w:val="28"/>
              </w:rPr>
              <w:t>名</w:t>
            </w:r>
            <w:r>
              <w:rPr>
                <w:rFonts w:eastAsia="仿宋"/>
                <w:bCs/>
                <w:color w:val="000000"/>
                <w:sz w:val="28"/>
                <w:szCs w:val="28"/>
              </w:rPr>
              <w:t xml:space="preserve">    </w:t>
            </w:r>
            <w:r>
              <w:rPr>
                <w:rFonts w:eastAsia="仿宋"/>
                <w:bCs/>
                <w:color w:val="000000"/>
                <w:sz w:val="28"/>
                <w:szCs w:val="28"/>
              </w:rPr>
              <w:t>称</w:t>
            </w:r>
          </w:p>
        </w:tc>
        <w:tc>
          <w:tcPr>
            <w:tcW w:w="5214" w:type="dxa"/>
            <w:gridSpan w:val="3"/>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sz w:val="28"/>
                <w:szCs w:val="28"/>
              </w:rPr>
            </w:pPr>
          </w:p>
        </w:tc>
      </w:tr>
      <w:tr>
        <w:tblPrEx>
          <w:tblW w:w="8897" w:type="dxa"/>
          <w:jc w:val="center"/>
          <w:tblLook w:val="04A0"/>
        </w:tblPrEx>
        <w:trPr>
          <w:trHeight w:val="567"/>
          <w:jc w:val="center"/>
        </w:trPr>
        <w:tc>
          <w:tcPr>
            <w:tcW w:w="2235" w:type="dxa"/>
            <w:gridSpan w:val="2"/>
            <w:vMerge/>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rPr>
            </w:pPr>
          </w:p>
        </w:tc>
        <w:tc>
          <w:tcPr>
            <w:tcW w:w="1448" w:type="dxa"/>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sz w:val="28"/>
                <w:szCs w:val="28"/>
              </w:rPr>
            </w:pPr>
            <w:r>
              <w:rPr>
                <w:rFonts w:eastAsia="仿宋"/>
                <w:bCs/>
                <w:color w:val="000000"/>
                <w:sz w:val="28"/>
                <w:szCs w:val="28"/>
              </w:rPr>
              <w:t>地</w:t>
            </w:r>
            <w:r>
              <w:rPr>
                <w:rFonts w:eastAsia="仿宋"/>
                <w:bCs/>
                <w:color w:val="000000"/>
                <w:sz w:val="28"/>
                <w:szCs w:val="28"/>
              </w:rPr>
              <w:t xml:space="preserve">    </w:t>
            </w:r>
            <w:r>
              <w:rPr>
                <w:rFonts w:eastAsia="仿宋"/>
                <w:bCs/>
                <w:color w:val="000000"/>
                <w:sz w:val="28"/>
                <w:szCs w:val="28"/>
              </w:rPr>
              <w:t>址</w:t>
            </w:r>
          </w:p>
        </w:tc>
        <w:tc>
          <w:tcPr>
            <w:tcW w:w="5214" w:type="dxa"/>
            <w:gridSpan w:val="3"/>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sz w:val="28"/>
                <w:szCs w:val="28"/>
              </w:rPr>
            </w:pPr>
          </w:p>
        </w:tc>
      </w:tr>
      <w:tr>
        <w:tblPrEx>
          <w:tblW w:w="8897" w:type="dxa"/>
          <w:jc w:val="center"/>
          <w:tblLook w:val="04A0"/>
        </w:tblPrEx>
        <w:trPr>
          <w:trHeight w:val="567"/>
          <w:jc w:val="center"/>
        </w:trPr>
        <w:tc>
          <w:tcPr>
            <w:tcW w:w="2235" w:type="dxa"/>
            <w:gridSpan w:val="2"/>
            <w:vMerge/>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rPr>
            </w:pPr>
          </w:p>
        </w:tc>
        <w:tc>
          <w:tcPr>
            <w:tcW w:w="1448" w:type="dxa"/>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sz w:val="28"/>
                <w:szCs w:val="28"/>
              </w:rPr>
            </w:pPr>
            <w:r>
              <w:rPr>
                <w:rFonts w:eastAsia="仿宋"/>
                <w:bCs/>
                <w:color w:val="000000"/>
                <w:sz w:val="28"/>
                <w:szCs w:val="28"/>
              </w:rPr>
              <w:t>单位性质</w:t>
            </w:r>
          </w:p>
        </w:tc>
        <w:tc>
          <w:tcPr>
            <w:tcW w:w="908" w:type="dxa"/>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sz w:val="28"/>
                <w:szCs w:val="28"/>
              </w:rPr>
            </w:pPr>
            <w:r>
              <w:rPr>
                <w:rFonts w:eastAsia="仿宋"/>
                <w:bCs/>
                <w:color w:val="000000"/>
                <w:sz w:val="28"/>
                <w:szCs w:val="28"/>
              </w:rPr>
              <w:t>社会信用代码</w:t>
            </w:r>
          </w:p>
        </w:tc>
        <w:tc>
          <w:tcPr>
            <w:tcW w:w="2321" w:type="dxa"/>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sz w:val="28"/>
                <w:szCs w:val="28"/>
              </w:rPr>
            </w:pPr>
          </w:p>
        </w:tc>
      </w:tr>
      <w:tr>
        <w:tblPrEx>
          <w:tblW w:w="8897" w:type="dxa"/>
          <w:jc w:val="center"/>
          <w:tblLook w:val="04A0"/>
        </w:tblPrEx>
        <w:trPr>
          <w:trHeight w:val="567"/>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DE26EC">
            <w:pPr>
              <w:spacing w:line="580" w:lineRule="exact"/>
              <w:jc w:val="center"/>
              <w:rPr>
                <w:rFonts w:eastAsia="仿宋"/>
                <w:bCs/>
                <w:color w:val="000000"/>
                <w:sz w:val="28"/>
                <w:szCs w:val="28"/>
              </w:rPr>
            </w:pPr>
            <w:r>
              <w:rPr>
                <w:rFonts w:eastAsia="仿宋"/>
                <w:bCs/>
                <w:color w:val="000000"/>
                <w:sz w:val="28"/>
                <w:szCs w:val="28"/>
              </w:rPr>
              <w:t>特殊物品名称</w:t>
            </w:r>
          </w:p>
        </w:tc>
        <w:tc>
          <w:tcPr>
            <w:tcW w:w="6662" w:type="dxa"/>
            <w:gridSpan w:val="4"/>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sz w:val="28"/>
                <w:szCs w:val="28"/>
              </w:rPr>
            </w:pPr>
          </w:p>
        </w:tc>
      </w:tr>
      <w:tr>
        <w:tblPrEx>
          <w:tblW w:w="8897" w:type="dxa"/>
          <w:jc w:val="center"/>
          <w:tblLook w:val="04A0"/>
        </w:tblPrEx>
        <w:trPr>
          <w:trHeight w:val="567"/>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DE26EC">
            <w:pPr>
              <w:spacing w:line="580" w:lineRule="exact"/>
              <w:jc w:val="center"/>
              <w:rPr>
                <w:rFonts w:eastAsia="仿宋"/>
                <w:bCs/>
                <w:color w:val="000000"/>
                <w:sz w:val="28"/>
                <w:szCs w:val="28"/>
              </w:rPr>
            </w:pPr>
            <w:r>
              <w:rPr>
                <w:rFonts w:eastAsia="仿宋"/>
                <w:bCs/>
                <w:color w:val="000000"/>
                <w:sz w:val="28"/>
                <w:szCs w:val="28"/>
              </w:rPr>
              <w:t>物</w:t>
            </w:r>
            <w:r>
              <w:rPr>
                <w:rFonts w:eastAsia="仿宋"/>
                <w:bCs/>
                <w:color w:val="000000"/>
                <w:sz w:val="28"/>
                <w:szCs w:val="28"/>
              </w:rPr>
              <w:t xml:space="preserve"> </w:t>
            </w:r>
            <w:r>
              <w:rPr>
                <w:rFonts w:eastAsia="仿宋"/>
                <w:bCs/>
                <w:color w:val="000000"/>
                <w:sz w:val="28"/>
                <w:szCs w:val="28"/>
              </w:rPr>
              <w:t>品</w:t>
            </w:r>
            <w:r>
              <w:rPr>
                <w:rFonts w:eastAsia="仿宋"/>
                <w:bCs/>
                <w:color w:val="000000"/>
                <w:sz w:val="28"/>
                <w:szCs w:val="28"/>
              </w:rPr>
              <w:t xml:space="preserve"> </w:t>
            </w:r>
            <w:r>
              <w:rPr>
                <w:rFonts w:eastAsia="仿宋"/>
                <w:bCs/>
                <w:color w:val="000000"/>
                <w:sz w:val="28"/>
                <w:szCs w:val="28"/>
              </w:rPr>
              <w:t>用</w:t>
            </w:r>
            <w:r>
              <w:rPr>
                <w:rFonts w:eastAsia="仿宋"/>
                <w:bCs/>
                <w:color w:val="000000"/>
                <w:sz w:val="28"/>
                <w:szCs w:val="28"/>
              </w:rPr>
              <w:t xml:space="preserve"> </w:t>
            </w:r>
            <w:r>
              <w:rPr>
                <w:rFonts w:eastAsia="仿宋"/>
                <w:bCs/>
                <w:color w:val="000000"/>
                <w:sz w:val="28"/>
                <w:szCs w:val="28"/>
              </w:rPr>
              <w:t>途</w:t>
            </w:r>
          </w:p>
        </w:tc>
        <w:tc>
          <w:tcPr>
            <w:tcW w:w="6662" w:type="dxa"/>
            <w:gridSpan w:val="4"/>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sz w:val="28"/>
                <w:szCs w:val="28"/>
              </w:rPr>
            </w:pPr>
          </w:p>
        </w:tc>
      </w:tr>
      <w:tr>
        <w:tblPrEx>
          <w:tblW w:w="8897" w:type="dxa"/>
          <w:jc w:val="center"/>
          <w:tblLook w:val="04A0"/>
        </w:tblPrEx>
        <w:trPr>
          <w:trHeight w:val="567"/>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DE26EC">
            <w:pPr>
              <w:spacing w:line="580" w:lineRule="exact"/>
              <w:jc w:val="center"/>
              <w:rPr>
                <w:rFonts w:eastAsia="仿宋"/>
                <w:bCs/>
                <w:color w:val="000000"/>
                <w:sz w:val="28"/>
                <w:szCs w:val="28"/>
              </w:rPr>
            </w:pPr>
            <w:r>
              <w:rPr>
                <w:rFonts w:eastAsia="仿宋"/>
                <w:bCs/>
                <w:color w:val="000000"/>
                <w:sz w:val="28"/>
                <w:szCs w:val="28"/>
              </w:rPr>
              <w:t>存放</w:t>
            </w:r>
            <w:r>
              <w:rPr>
                <w:rFonts w:eastAsia="仿宋"/>
                <w:bCs/>
                <w:color w:val="000000"/>
                <w:sz w:val="28"/>
                <w:szCs w:val="28"/>
              </w:rPr>
              <w:t>/</w:t>
            </w:r>
            <w:r>
              <w:rPr>
                <w:rFonts w:eastAsia="仿宋"/>
                <w:bCs/>
                <w:color w:val="000000"/>
                <w:sz w:val="28"/>
                <w:szCs w:val="28"/>
              </w:rPr>
              <w:t>使用地点</w:t>
            </w:r>
          </w:p>
        </w:tc>
        <w:tc>
          <w:tcPr>
            <w:tcW w:w="6662" w:type="dxa"/>
            <w:gridSpan w:val="4"/>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sz w:val="28"/>
                <w:szCs w:val="28"/>
              </w:rPr>
            </w:pPr>
          </w:p>
        </w:tc>
      </w:tr>
      <w:tr>
        <w:tblPrEx>
          <w:tblW w:w="8897" w:type="dxa"/>
          <w:jc w:val="center"/>
          <w:tblLook w:val="04A0"/>
        </w:tblPrEx>
        <w:trPr>
          <w:trHeight w:val="608"/>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DE26EC">
            <w:pPr>
              <w:spacing w:line="580" w:lineRule="exact"/>
              <w:jc w:val="center"/>
              <w:rPr>
                <w:rFonts w:eastAsia="仿宋"/>
                <w:bCs/>
                <w:color w:val="000000"/>
                <w:sz w:val="28"/>
                <w:szCs w:val="28"/>
              </w:rPr>
            </w:pPr>
            <w:r>
              <w:rPr>
                <w:rFonts w:eastAsia="仿宋"/>
                <w:bCs/>
                <w:color w:val="000000"/>
                <w:sz w:val="28"/>
                <w:szCs w:val="28"/>
              </w:rPr>
              <w:t>联</w:t>
            </w:r>
            <w:r>
              <w:rPr>
                <w:rFonts w:eastAsia="仿宋"/>
                <w:bCs/>
                <w:color w:val="000000"/>
                <w:sz w:val="28"/>
                <w:szCs w:val="28"/>
              </w:rPr>
              <w:t xml:space="preserve"> </w:t>
            </w:r>
            <w:r>
              <w:rPr>
                <w:rFonts w:eastAsia="仿宋"/>
                <w:bCs/>
                <w:color w:val="000000"/>
                <w:sz w:val="28"/>
                <w:szCs w:val="28"/>
              </w:rPr>
              <w:t>系</w:t>
            </w:r>
            <w:r>
              <w:rPr>
                <w:rFonts w:eastAsia="仿宋"/>
                <w:bCs/>
                <w:color w:val="000000"/>
                <w:sz w:val="28"/>
                <w:szCs w:val="28"/>
              </w:rPr>
              <w:t xml:space="preserve"> </w:t>
            </w:r>
            <w:r>
              <w:rPr>
                <w:rFonts w:eastAsia="仿宋"/>
                <w:bCs/>
                <w:color w:val="000000"/>
                <w:sz w:val="28"/>
                <w:szCs w:val="28"/>
              </w:rPr>
              <w:t>人</w:t>
            </w:r>
          </w:p>
        </w:tc>
        <w:tc>
          <w:tcPr>
            <w:tcW w:w="2356" w:type="dxa"/>
            <w:gridSpan w:val="2"/>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DE26EC">
            <w:pPr>
              <w:spacing w:line="580" w:lineRule="exact"/>
              <w:jc w:val="center"/>
              <w:rPr>
                <w:rFonts w:eastAsia="仿宋"/>
                <w:color w:val="000000"/>
                <w:sz w:val="28"/>
                <w:szCs w:val="28"/>
              </w:rPr>
            </w:pPr>
            <w:r>
              <w:rPr>
                <w:rFonts w:eastAsia="仿宋"/>
                <w:color w:val="000000"/>
                <w:sz w:val="28"/>
                <w:szCs w:val="28"/>
              </w:rPr>
              <w:t>联系方式</w:t>
            </w:r>
          </w:p>
        </w:tc>
        <w:tc>
          <w:tcPr>
            <w:tcW w:w="2321" w:type="dxa"/>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sz w:val="28"/>
                <w:szCs w:val="28"/>
              </w:rPr>
            </w:pPr>
          </w:p>
        </w:tc>
      </w:tr>
      <w:tr>
        <w:tblPrEx>
          <w:tblW w:w="8897" w:type="dxa"/>
          <w:jc w:val="center"/>
          <w:tblLook w:val="04A0"/>
        </w:tblPrEx>
        <w:trPr>
          <w:trHeight w:val="6277"/>
          <w:jc w:val="center"/>
        </w:trPr>
        <w:tc>
          <w:tcPr>
            <w:tcW w:w="525" w:type="dxa"/>
            <w:tcBorders>
              <w:top w:val="single" w:sz="4" w:space="0" w:color="auto"/>
              <w:left w:val="single" w:sz="4" w:space="0" w:color="auto"/>
              <w:bottom w:val="single" w:sz="4" w:space="0" w:color="auto"/>
              <w:right w:val="single" w:sz="4" w:space="0" w:color="auto"/>
            </w:tcBorders>
            <w:vAlign w:val="center"/>
          </w:tcPr>
          <w:p w:rsidR="00DE26EC">
            <w:pPr>
              <w:spacing w:line="580" w:lineRule="exact"/>
              <w:rPr>
                <w:rFonts w:eastAsia="仿宋"/>
                <w:color w:val="000000"/>
                <w:sz w:val="28"/>
                <w:szCs w:val="28"/>
              </w:rPr>
            </w:pPr>
            <w:r>
              <w:rPr>
                <w:rFonts w:eastAsia="仿宋"/>
                <w:bCs/>
                <w:color w:val="000000"/>
                <w:sz w:val="28"/>
                <w:szCs w:val="28"/>
              </w:rPr>
              <w:t>单位声明</w:t>
            </w:r>
          </w:p>
        </w:tc>
        <w:tc>
          <w:tcPr>
            <w:tcW w:w="8372" w:type="dxa"/>
            <w:gridSpan w:val="5"/>
            <w:tcBorders>
              <w:top w:val="single" w:sz="4" w:space="0" w:color="auto"/>
              <w:left w:val="single" w:sz="4" w:space="0" w:color="auto"/>
              <w:bottom w:val="single" w:sz="4" w:space="0" w:color="auto"/>
              <w:right w:val="single" w:sz="4" w:space="0" w:color="auto"/>
            </w:tcBorders>
          </w:tcPr>
          <w:p w:rsidR="00DE26EC" w:rsidP="00B4154C">
            <w:pPr>
              <w:spacing w:line="540" w:lineRule="exact"/>
              <w:ind w:firstLine="640" w:firstLineChars="200"/>
              <w:rPr>
                <w:rFonts w:eastAsia="仿宋"/>
                <w:color w:val="000000"/>
                <w:sz w:val="28"/>
                <w:szCs w:val="28"/>
              </w:rPr>
            </w:pPr>
            <w:r>
              <w:rPr>
                <w:rFonts w:eastAsia="仿宋"/>
                <w:color w:val="000000"/>
                <w:sz w:val="28"/>
                <w:szCs w:val="28"/>
              </w:rPr>
              <w:t>本单位申请加入出入境特殊物品联合监管试点。</w:t>
            </w:r>
          </w:p>
          <w:p w:rsidR="00DE26EC" w:rsidP="00B4154C">
            <w:pPr>
              <w:spacing w:line="540" w:lineRule="exact"/>
              <w:ind w:firstLine="640" w:firstLineChars="200"/>
              <w:rPr>
                <w:rFonts w:eastAsia="仿宋"/>
                <w:color w:val="000000"/>
                <w:sz w:val="28"/>
                <w:szCs w:val="28"/>
              </w:rPr>
            </w:pPr>
            <w:r>
              <w:rPr>
                <w:rFonts w:eastAsia="仿宋"/>
                <w:color w:val="000000"/>
                <w:sz w:val="28"/>
                <w:szCs w:val="28"/>
              </w:rPr>
              <w:t>本单位承诺在特殊物品输入、生产、经营、使用等环节中严格按照规范进行管理，履行主体责任。对社会和公众负责，接受社会监督，承担社会责任，严格按照联合监管机制各部门要求进行处置并做好记录，主动接受和配合监管部门监管。</w:t>
            </w:r>
          </w:p>
          <w:p w:rsidR="00DE26EC" w:rsidP="00B4154C">
            <w:pPr>
              <w:spacing w:line="540" w:lineRule="exact"/>
              <w:ind w:firstLine="640" w:firstLineChars="200"/>
              <w:rPr>
                <w:rFonts w:eastAsia="仿宋"/>
                <w:color w:val="000000"/>
                <w:sz w:val="28"/>
                <w:szCs w:val="28"/>
              </w:rPr>
            </w:pPr>
            <w:r>
              <w:rPr>
                <w:rFonts w:eastAsia="仿宋"/>
                <w:color w:val="000000"/>
                <w:sz w:val="28"/>
                <w:szCs w:val="28"/>
              </w:rPr>
              <w:t>本单位承诺提交的所有材料及陈述均真实、合法、有效，所有复印件与原件完全一致。如上述陈述或材料有任何虚假、夸大或不真实之处，本单位将承担由此导致的一切法律责任。</w:t>
            </w:r>
          </w:p>
          <w:p w:rsidR="00DE26EC">
            <w:pPr>
              <w:spacing w:line="240" w:lineRule="exact"/>
              <w:ind w:firstLine="4960" w:firstLineChars="1550"/>
              <w:rPr>
                <w:rFonts w:eastAsia="仿宋"/>
                <w:bCs/>
                <w:color w:val="000000"/>
                <w:sz w:val="28"/>
                <w:szCs w:val="28"/>
              </w:rPr>
            </w:pPr>
          </w:p>
          <w:p w:rsidR="00DE26EC">
            <w:pPr>
              <w:spacing w:line="480" w:lineRule="exact"/>
              <w:ind w:firstLine="4960" w:firstLineChars="1550"/>
              <w:rPr>
                <w:rFonts w:eastAsia="仿宋"/>
                <w:bCs/>
                <w:color w:val="000000"/>
                <w:sz w:val="28"/>
                <w:szCs w:val="28"/>
              </w:rPr>
            </w:pPr>
            <w:r>
              <w:rPr>
                <w:rFonts w:eastAsia="仿宋"/>
                <w:bCs/>
                <w:color w:val="000000"/>
                <w:sz w:val="28"/>
                <w:szCs w:val="28"/>
              </w:rPr>
              <w:t>法人代表（签章）</w:t>
            </w:r>
          </w:p>
          <w:p w:rsidR="00DE26EC">
            <w:pPr>
              <w:spacing w:line="480" w:lineRule="exact"/>
              <w:rPr>
                <w:rFonts w:eastAsia="仿宋"/>
                <w:bCs/>
                <w:color w:val="000000"/>
                <w:sz w:val="28"/>
                <w:szCs w:val="28"/>
              </w:rPr>
            </w:pPr>
            <w:r>
              <w:rPr>
                <w:rFonts w:eastAsia="仿宋"/>
                <w:bCs/>
                <w:color w:val="000000"/>
                <w:sz w:val="28"/>
                <w:szCs w:val="28"/>
              </w:rPr>
              <w:t xml:space="preserve">                               </w:t>
            </w:r>
            <w:r>
              <w:rPr>
                <w:rFonts w:eastAsia="仿宋"/>
                <w:bCs/>
                <w:color w:val="000000"/>
                <w:sz w:val="28"/>
                <w:szCs w:val="28"/>
              </w:rPr>
              <w:t>公</w:t>
            </w:r>
            <w:r>
              <w:rPr>
                <w:rFonts w:eastAsia="仿宋"/>
                <w:bCs/>
                <w:color w:val="000000"/>
                <w:sz w:val="28"/>
                <w:szCs w:val="28"/>
              </w:rPr>
              <w:t xml:space="preserve">    </w:t>
            </w:r>
            <w:r>
              <w:rPr>
                <w:rFonts w:eastAsia="仿宋"/>
                <w:bCs/>
                <w:color w:val="000000"/>
                <w:sz w:val="28"/>
                <w:szCs w:val="28"/>
              </w:rPr>
              <w:t>章</w:t>
            </w:r>
          </w:p>
          <w:p w:rsidR="00DE26EC">
            <w:pPr>
              <w:spacing w:line="480" w:lineRule="exact"/>
              <w:rPr>
                <w:rFonts w:eastAsia="仿宋"/>
                <w:color w:val="000000"/>
                <w:sz w:val="28"/>
                <w:szCs w:val="28"/>
              </w:rPr>
            </w:pPr>
            <w:r>
              <w:rPr>
                <w:rFonts w:eastAsia="仿宋"/>
                <w:bCs/>
                <w:color w:val="000000"/>
                <w:sz w:val="28"/>
                <w:szCs w:val="28"/>
              </w:rPr>
              <w:t xml:space="preserve">                               </w:t>
            </w:r>
            <w:r>
              <w:rPr>
                <w:rFonts w:eastAsia="仿宋"/>
                <w:bCs/>
                <w:color w:val="000000"/>
                <w:sz w:val="28"/>
                <w:szCs w:val="28"/>
              </w:rPr>
              <w:t>年</w:t>
            </w:r>
            <w:r>
              <w:rPr>
                <w:rFonts w:eastAsia="仿宋"/>
                <w:bCs/>
                <w:color w:val="000000"/>
                <w:sz w:val="28"/>
                <w:szCs w:val="28"/>
              </w:rPr>
              <w:t xml:space="preserve">   </w:t>
            </w:r>
            <w:r>
              <w:rPr>
                <w:rFonts w:eastAsia="仿宋"/>
                <w:bCs/>
                <w:color w:val="000000"/>
                <w:sz w:val="28"/>
                <w:szCs w:val="28"/>
              </w:rPr>
              <w:t>月</w:t>
            </w:r>
            <w:r>
              <w:rPr>
                <w:rFonts w:eastAsia="仿宋"/>
                <w:bCs/>
                <w:color w:val="000000"/>
                <w:sz w:val="28"/>
                <w:szCs w:val="28"/>
              </w:rPr>
              <w:t xml:space="preserve">   </w:t>
            </w:r>
            <w:r>
              <w:rPr>
                <w:rFonts w:eastAsia="仿宋"/>
                <w:bCs/>
                <w:color w:val="000000"/>
                <w:sz w:val="28"/>
                <w:szCs w:val="28"/>
              </w:rPr>
              <w:t>日</w:t>
            </w:r>
          </w:p>
        </w:tc>
      </w:tr>
    </w:tbl>
    <w:p w:rsidR="00DE26EC" w:rsidP="00B4154C">
      <w:pPr>
        <w:widowControl/>
        <w:spacing w:line="20" w:lineRule="exact"/>
      </w:pPr>
    </w:p>
    <w:sectPr w:rsidSect="00B4154C">
      <w:headerReference w:type="even" r:id="rId5"/>
      <w:headerReference w:type="default" r:id="rId6"/>
      <w:footerReference w:type="default" r:id="rId7"/>
      <w:headerReference w:type="first" r:id="rId8"/>
      <w:pgSz w:w="12240" w:h="15840"/>
      <w:pgMar w:top="2041" w:right="1559" w:bottom="1928" w:left="1559" w:header="850" w:footer="1474" w:gutter="0"/>
      <w:cols w:space="720"/>
      <w:docGrid w:linePitch="326" w:charSpace="-6553"/>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6EC">
    <w:pPr>
      <w:pStyle w:val="Footer"/>
      <w:ind w:right="320" w:rightChars="100"/>
      <w:jc w:val="right"/>
      <w:rPr>
        <w:sz w:val="32"/>
        <w:szCs w:val="32"/>
      </w:rPr>
    </w:pPr>
    <w:r>
      <w:rPr>
        <w:sz w:val="32"/>
      </w:rPr>
      <w:pict>
        <v:shapetype id="_x0000_t202" coordsize="21600,21600" o:spt="202" path="m,l,21600r21600,l21600,xe">
          <v:stroke joinstyle="miter"/>
          <v:path gradientshapeok="t" o:connecttype="rect"/>
        </v:shapetype>
        <v:shape id="_x0000_s2049" type="#_x0000_t202" style="height:2in;margin-left:0;margin-top:0;mso-position-horizontal:center;mso-position-horizontal-relative:margin;mso-wrap-style:none;position:absolute;width:2in;z-index:251658240" filled="f" stroked="f">
          <v:textbox style="mso-fit-shape-to-text:t" inset="0,0,0,0">
            <w:txbxContent>
              <w:p w:rsidR="00DE26EC">
                <w:pPr>
                  <w:pStyle w:val="Footer"/>
                  <w:ind w:right="320" w:rightChars="100"/>
                  <w:jc w:val="right"/>
                  <w:rPr>
                    <w:sz w:val="30"/>
                    <w:szCs w:val="30"/>
                  </w:rPr>
                </w:pPr>
                <w:r>
                  <w:rPr>
                    <w:sz w:val="30"/>
                    <w:szCs w:val="30"/>
                  </w:rPr>
                  <w:fldChar w:fldCharType="begin"/>
                </w:r>
                <w:r w:rsidR="004C247B">
                  <w:rPr>
                    <w:sz w:val="30"/>
                    <w:szCs w:val="30"/>
                  </w:rPr>
                  <w:instrText xml:space="preserve"> PAGE  \* MERGEFORMAT </w:instrText>
                </w:r>
                <w:r>
                  <w:rPr>
                    <w:sz w:val="30"/>
                    <w:szCs w:val="30"/>
                  </w:rPr>
                  <w:fldChar w:fldCharType="separate"/>
                </w:r>
                <w:r w:rsidR="00B4154C">
                  <w:rPr>
                    <w:noProof/>
                    <w:sz w:val="30"/>
                    <w:szCs w:val="30"/>
                  </w:rPr>
                  <w:t>2</w:t>
                </w:r>
                <w:r>
                  <w:rPr>
                    <w:sz w:val="30"/>
                    <w:szCs w:val="30"/>
                  </w:rPr>
                  <w:fldChar w:fldCharType="end"/>
                </w:r>
              </w:p>
            </w:txbxContent>
          </v:textbox>
          <w10:wrap anchorx="margin"/>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4" type="#_x0000_t136" style="height:20pt;margin-left:0;margin-top:0;position:absolute;rotation:-40;width:100pt;z-index:251683840" fillcolor="#eae9e7" strokecolor="#eae9e7">
          <v:textpath style="font-family:&quot;WeiRuanYaHei&quot;" string="zfb.zl 2024-10-05 13:06:47"/>
        </v:shape>
      </w:pict>
    </w:r>
    <w:r>
      <w:pict>
        <v:shape id="_x0000_s2075" type="#_x0000_t136" style="height:20pt;margin-left:0;margin-top:200pt;position:absolute;rotation:-40;width:100pt;z-index:251684864" fillcolor="#eae9e7" strokecolor="#eae9e7">
          <v:textpath style="font-family:&quot;WeiRuanYaHei&quot;" string="zfb.zl 2024-10-05 13:06:47"/>
        </v:shape>
      </w:pict>
    </w:r>
    <w:r>
      <w:pict>
        <v:shape id="_x0000_s2076" type="#_x0000_t136" style="height:20pt;margin-left:0;margin-top:400pt;position:absolute;rotation:-40;width:100pt;z-index:251685888" fillcolor="#eae9e7" strokecolor="#eae9e7">
          <v:textpath style="font-family:&quot;WeiRuanYaHei&quot;" string="zfb.zl 2024-10-05 13:06:47"/>
        </v:shape>
      </w:pict>
    </w:r>
    <w:r>
      <w:pict>
        <v:shape id="_x0000_s2077" type="#_x0000_t136" style="height:20pt;margin-left:0;margin-top:600pt;position:absolute;rotation:-40;width:100pt;z-index:251686912" fillcolor="#eae9e7" strokecolor="#eae9e7">
          <v:textpath style="font-family:&quot;WeiRuanYaHei&quot;" string="zfb.zl 2024-10-05 13:06:47"/>
        </v:shape>
      </w:pict>
    </w:r>
    <w:r>
      <w:pict>
        <v:shape id="_x0000_s2078" type="#_x0000_t136" style="height:20pt;margin-left:200pt;margin-top:0;position:absolute;rotation:-40;width:100pt;z-index:251687936" fillcolor="#eae9e7" strokecolor="#eae9e7">
          <v:textpath style="font-family:&quot;WeiRuanYaHei&quot;" string="zfb.zl 2024-10-05 13:06:47"/>
        </v:shape>
      </w:pict>
    </w:r>
    <w:r>
      <w:pict>
        <v:shape id="_x0000_s2079" type="#_x0000_t136" style="height:20pt;margin-left:200pt;margin-top:200pt;position:absolute;rotation:-40;width:100pt;z-index:251688960" fillcolor="#eae9e7" strokecolor="#eae9e7">
          <v:textpath style="font-family:&quot;WeiRuanYaHei&quot;" string="zfb.zl 2024-10-05 13:06:47"/>
        </v:shape>
      </w:pict>
    </w:r>
    <w:r>
      <w:pict>
        <v:shape id="_x0000_s2080" type="#_x0000_t136" style="height:20pt;margin-left:200pt;margin-top:400pt;position:absolute;rotation:-40;width:100pt;z-index:251689984" fillcolor="#eae9e7" strokecolor="#eae9e7">
          <v:textpath style="font-family:&quot;WeiRuanYaHei&quot;" string="zfb.zl 2024-10-05 13:06:47"/>
        </v:shape>
      </w:pict>
    </w:r>
    <w:r>
      <w:pict>
        <v:shape id="_x0000_s2081" type="#_x0000_t136" style="height:20pt;margin-left:200pt;margin-top:600pt;position:absolute;rotation:-40;width:100pt;z-index:251691008" fillcolor="#eae9e7" strokecolor="#eae9e7">
          <v:textpath style="font-family:&quot;WeiRuanYaHei&quot;" string="zfb.zl 2024-10-05 13:06:47"/>
        </v:shape>
      </w:pict>
    </w:r>
    <w:r>
      <w:pict>
        <v:shape id="_x0000_s2082" type="#_x0000_t136" style="height:20pt;margin-left:400pt;margin-top:0;position:absolute;rotation:-40;width:100pt;z-index:251692032" fillcolor="#eae9e7" strokecolor="#eae9e7">
          <v:textpath style="font-family:&quot;WeiRuanYaHei&quot;" string="zfb.zl 2024-10-05 13:06:47"/>
        </v:shape>
      </w:pict>
    </w:r>
    <w:r>
      <w:pict>
        <v:shape id="_x0000_s2083" type="#_x0000_t136" style="height:20pt;margin-left:400pt;margin-top:200pt;position:absolute;rotation:-40;width:100pt;z-index:251693056" fillcolor="#eae9e7" strokecolor="#eae9e7">
          <v:textpath style="font-family:&quot;WeiRuanYaHei&quot;" string="zfb.zl 2024-10-05 13:06:47"/>
        </v:shape>
      </w:pict>
    </w:r>
    <w:r>
      <w:pict>
        <v:shape id="_x0000_s2084" type="#_x0000_t136" style="height:20pt;margin-left:400pt;margin-top:400pt;position:absolute;rotation:-40;width:100pt;z-index:251694080" fillcolor="#eae9e7" strokecolor="#eae9e7">
          <v:textpath style="font-family:&quot;WeiRuanYaHei&quot;" string="zfb.zl 2024-10-05 13:06:47"/>
        </v:shape>
      </w:pict>
    </w:r>
    <w:r>
      <w:pict>
        <v:shape id="_x0000_s2085" type="#_x0000_t136" style="height:20pt;margin-left:400pt;margin-top:600pt;position:absolute;rotation:-40;width:100pt;z-index:251695104" fillcolor="#eae9e7" strokecolor="#eae9e7">
          <v:textpath style="font-family:&quot;WeiRuanYaHei&quot;" string="zfb.zl 2024-10-05 13:06:47"/>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height:20pt;margin-left:0;margin-top:0;position:absolute;rotation:-40;width:100pt;z-index:251659264" fillcolor="#eae9e7" strokecolor="#eae9e7">
          <v:textpath style="font-family:&quot;WeiRuanYaHei&quot;" string="zfb.zl 2024-10-05 13:06:47"/>
        </v:shape>
      </w:pict>
    </w:r>
    <w:r>
      <w:pict>
        <v:shape id="_x0000_s2051" type="#_x0000_t136" style="height:20pt;margin-left:0;margin-top:200pt;position:absolute;rotation:-40;width:100pt;z-index:251660288" fillcolor="#eae9e7" strokecolor="#eae9e7">
          <v:textpath style="font-family:&quot;WeiRuanYaHei&quot;" string="zfb.zl 2024-10-05 13:06:47"/>
        </v:shape>
      </w:pict>
    </w:r>
    <w:r>
      <w:pict>
        <v:shape id="_x0000_s2052" type="#_x0000_t136" style="height:20pt;margin-left:0;margin-top:400pt;position:absolute;rotation:-40;width:100pt;z-index:251661312" fillcolor="#eae9e7" strokecolor="#eae9e7">
          <v:textpath style="font-family:&quot;WeiRuanYaHei&quot;" string="zfb.zl 2024-10-05 13:06:47"/>
        </v:shape>
      </w:pict>
    </w:r>
    <w:r>
      <w:pict>
        <v:shape id="_x0000_s2053" type="#_x0000_t136" style="height:20pt;margin-left:0;margin-top:600pt;position:absolute;rotation:-40;width:100pt;z-index:251662336" fillcolor="#eae9e7" strokecolor="#eae9e7">
          <v:textpath style="font-family:&quot;WeiRuanYaHei&quot;" string="zfb.zl 2024-10-05 13:06:47"/>
        </v:shape>
      </w:pict>
    </w:r>
    <w:r>
      <w:pict>
        <v:shape id="_x0000_s2054" type="#_x0000_t136" style="height:20pt;margin-left:200pt;margin-top:0;position:absolute;rotation:-40;width:100pt;z-index:251663360" fillcolor="#eae9e7" strokecolor="#eae9e7">
          <v:textpath style="font-family:&quot;WeiRuanYaHei&quot;" string="zfb.zl 2024-10-05 13:06:47"/>
        </v:shape>
      </w:pict>
    </w:r>
    <w:r>
      <w:pict>
        <v:shape id="_x0000_s2055" type="#_x0000_t136" style="height:20pt;margin-left:200pt;margin-top:200pt;position:absolute;rotation:-40;width:100pt;z-index:251664384" fillcolor="#eae9e7" strokecolor="#eae9e7">
          <v:textpath style="font-family:&quot;WeiRuanYaHei&quot;" string="zfb.zl 2024-10-05 13:06:47"/>
        </v:shape>
      </w:pict>
    </w:r>
    <w:r>
      <w:pict>
        <v:shape id="_x0000_s2056" type="#_x0000_t136" style="height:20pt;margin-left:200pt;margin-top:400pt;position:absolute;rotation:-40;width:100pt;z-index:251665408" fillcolor="#eae9e7" strokecolor="#eae9e7">
          <v:textpath style="font-family:&quot;WeiRuanYaHei&quot;" string="zfb.zl 2024-10-05 13:06:47"/>
        </v:shape>
      </w:pict>
    </w:r>
    <w:r>
      <w:pict>
        <v:shape id="_x0000_s2057" type="#_x0000_t136" style="height:20pt;margin-left:200pt;margin-top:600pt;position:absolute;rotation:-40;width:100pt;z-index:251666432" fillcolor="#eae9e7" strokecolor="#eae9e7">
          <v:textpath style="font-family:&quot;WeiRuanYaHei&quot;" string="zfb.zl 2024-10-05 13:06:47"/>
        </v:shape>
      </w:pict>
    </w:r>
    <w:r>
      <w:pict>
        <v:shape id="_x0000_s2058" type="#_x0000_t136" style="height:20pt;margin-left:400pt;margin-top:0;position:absolute;rotation:-40;width:100pt;z-index:251667456" fillcolor="#eae9e7" strokecolor="#eae9e7">
          <v:textpath style="font-family:&quot;WeiRuanYaHei&quot;" string="zfb.zl 2024-10-05 13:06:47"/>
        </v:shape>
      </w:pict>
    </w:r>
    <w:r>
      <w:pict>
        <v:shape id="_x0000_s2059" type="#_x0000_t136" style="height:20pt;margin-left:400pt;margin-top:200pt;position:absolute;rotation:-40;width:100pt;z-index:251668480" fillcolor="#eae9e7" strokecolor="#eae9e7">
          <v:textpath style="font-family:&quot;WeiRuanYaHei&quot;" string="zfb.zl 2024-10-05 13:06:47"/>
        </v:shape>
      </w:pict>
    </w:r>
    <w:r>
      <w:pict>
        <v:shape id="_x0000_s2060" type="#_x0000_t136" style="height:20pt;margin-left:400pt;margin-top:400pt;position:absolute;rotation:-40;width:100pt;z-index:251669504" fillcolor="#eae9e7" strokecolor="#eae9e7">
          <v:textpath style="font-family:&quot;WeiRuanYaHei&quot;" string="zfb.zl 2024-10-05 13:06:47"/>
        </v:shape>
      </w:pict>
    </w:r>
    <w:r>
      <w:pict>
        <v:shape id="_x0000_s2061" type="#_x0000_t136" style="height:20pt;margin-left:400pt;margin-top:600pt;position:absolute;rotation:-40;width:100pt;z-index:251670528" fillcolor="#eae9e7" strokecolor="#eae9e7">
          <v:textpath style="font-family:&quot;WeiRuanYaHei&quot;" string="zfb.zl 2024-10-05 13:06:47"/>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height:20pt;margin-left:0;margin-top:0;position:absolute;rotation:-40;width:100pt;z-index:251671552" fillcolor="#eae9e7" strokecolor="#eae9e7">
          <v:textpath style="font-family:&quot;WeiRuanYaHei&quot;" string="zfb.zl 2024-10-05 13:06:47"/>
        </v:shape>
      </w:pict>
    </w:r>
    <w:r>
      <w:pict>
        <v:shape id="_x0000_s2063" type="#_x0000_t136" style="height:20pt;margin-left:0;margin-top:200pt;position:absolute;rotation:-40;width:100pt;z-index:251672576" fillcolor="#eae9e7" strokecolor="#eae9e7">
          <v:textpath style="font-family:&quot;WeiRuanYaHei&quot;" string="zfb.zl 2024-10-05 13:06:47"/>
        </v:shape>
      </w:pict>
    </w:r>
    <w:r>
      <w:pict>
        <v:shape id="_x0000_s2064" type="#_x0000_t136" style="height:20pt;margin-left:0;margin-top:400pt;position:absolute;rotation:-40;width:100pt;z-index:251673600" fillcolor="#eae9e7" strokecolor="#eae9e7">
          <v:textpath style="font-family:&quot;WeiRuanYaHei&quot;" string="zfb.zl 2024-10-05 13:06:47"/>
        </v:shape>
      </w:pict>
    </w:r>
    <w:r>
      <w:pict>
        <v:shape id="_x0000_s2065" type="#_x0000_t136" style="height:20pt;margin-left:0;margin-top:600pt;position:absolute;rotation:-40;width:100pt;z-index:251674624" fillcolor="#eae9e7" strokecolor="#eae9e7">
          <v:textpath style="font-family:&quot;WeiRuanYaHei&quot;" string="zfb.zl 2024-10-05 13:06:47"/>
        </v:shape>
      </w:pict>
    </w:r>
    <w:r>
      <w:pict>
        <v:shape id="_x0000_s2066" type="#_x0000_t136" style="height:20pt;margin-left:200pt;margin-top:0;position:absolute;rotation:-40;width:100pt;z-index:251675648" fillcolor="#eae9e7" strokecolor="#eae9e7">
          <v:textpath style="font-family:&quot;WeiRuanYaHei&quot;" string="zfb.zl 2024-10-05 13:06:47"/>
        </v:shape>
      </w:pict>
    </w:r>
    <w:r>
      <w:pict>
        <v:shape id="_x0000_s2067" type="#_x0000_t136" style="height:20pt;margin-left:200pt;margin-top:200pt;position:absolute;rotation:-40;width:100pt;z-index:251676672" fillcolor="#eae9e7" strokecolor="#eae9e7">
          <v:textpath style="font-family:&quot;WeiRuanYaHei&quot;" string="zfb.zl 2024-10-05 13:06:47"/>
        </v:shape>
      </w:pict>
    </w:r>
    <w:r>
      <w:pict>
        <v:shape id="_x0000_s2068" type="#_x0000_t136" style="height:20pt;margin-left:200pt;margin-top:400pt;position:absolute;rotation:-40;width:100pt;z-index:251677696" fillcolor="#eae9e7" strokecolor="#eae9e7">
          <v:textpath style="font-family:&quot;WeiRuanYaHei&quot;" string="zfb.zl 2024-10-05 13:06:47"/>
        </v:shape>
      </w:pict>
    </w:r>
    <w:r>
      <w:pict>
        <v:shape id="_x0000_s2069" type="#_x0000_t136" style="height:20pt;margin-left:200pt;margin-top:600pt;position:absolute;rotation:-40;width:100pt;z-index:251678720" fillcolor="#eae9e7" strokecolor="#eae9e7">
          <v:textpath style="font-family:&quot;WeiRuanYaHei&quot;" string="zfb.zl 2024-10-05 13:06:47"/>
        </v:shape>
      </w:pict>
    </w:r>
    <w:r>
      <w:pict>
        <v:shape id="_x0000_s2070" type="#_x0000_t136" style="height:20pt;margin-left:400pt;margin-top:0;position:absolute;rotation:-40;width:100pt;z-index:251679744" fillcolor="#eae9e7" strokecolor="#eae9e7">
          <v:textpath style="font-family:&quot;WeiRuanYaHei&quot;" string="zfb.zl 2024-10-05 13:06:47"/>
        </v:shape>
      </w:pict>
    </w:r>
    <w:r>
      <w:pict>
        <v:shape id="_x0000_s2071" type="#_x0000_t136" style="height:20pt;margin-left:400pt;margin-top:200pt;position:absolute;rotation:-40;width:100pt;z-index:251680768" fillcolor="#eae9e7" strokecolor="#eae9e7">
          <v:textpath style="font-family:&quot;WeiRuanYaHei&quot;" string="zfb.zl 2024-10-05 13:06:47"/>
        </v:shape>
      </w:pict>
    </w:r>
    <w:r>
      <w:pict>
        <v:shape id="_x0000_s2072" type="#_x0000_t136" style="height:20pt;margin-left:400pt;margin-top:400pt;position:absolute;rotation:-40;width:100pt;z-index:251681792" fillcolor="#eae9e7" strokecolor="#eae9e7">
          <v:textpath style="font-family:&quot;WeiRuanYaHei&quot;" string="zfb.zl 2024-10-05 13:06:47"/>
        </v:shape>
      </w:pict>
    </w:r>
    <w:r>
      <w:pict>
        <v:shape id="_x0000_s2073" type="#_x0000_t136" style="height:20pt;margin-left:400pt;margin-top:600pt;position:absolute;rotation:-40;width:100pt;z-index:251682816" fillcolor="#eae9e7" strokecolor="#eae9e7">
          <v:textpath style="font-family:&quot;WeiRuanYaHei&quot;" string="zfb.zl 2024-10-05 13:06:47"/>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1CFC306"/>
    <w:multiLevelType w:val="singleLevel"/>
    <w:tmpl w:val="F1CFC306"/>
    <w:lvl w:ilvl="0">
      <w:start w:val="1"/>
      <w:numFmt w:val="decimal"/>
      <w:suff w:val="space"/>
      <w:lvlText w:val="%1."/>
      <w:lvlJc w:val="left"/>
      <w:rPr>
        <w:rFonts w:hint="default"/>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MWVmN2E3ZGZkMWQ3MjljMmUyYzk1ZDIxMzc1ZDY3NGQ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semiHidden="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sid w:val="00DE26EC"/>
    <w:pPr>
      <w:widowControl w:val="0"/>
      <w:jc w:val="both"/>
    </w:pPr>
    <w:rPr>
      <w:rFonts w:ascii="Times New Roman" w:eastAsia="方正仿宋_GBK" w:hAnsi="Times New Roman" w:cs="Times New Roman"/>
      <w:kern w:val="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Char1"/>
    <w:uiPriority w:val="1"/>
    <w:qFormat/>
    <w:rsid w:val="00DE26EC"/>
    <w:pPr>
      <w:ind w:left="226"/>
    </w:pPr>
    <w:rPr>
      <w:rFonts w:ascii="方正仿宋_GBK" w:hAnsi="方正仿宋_GBK" w:cs="方正仿宋_GBK"/>
      <w:szCs w:val="32"/>
      <w:lang w:val="zh-CN" w:bidi="zh-CN"/>
    </w:rPr>
  </w:style>
  <w:style w:type="paragraph" w:styleId="Index5">
    <w:name w:val="index 5"/>
    <w:basedOn w:val="Normal"/>
    <w:next w:val="Normal"/>
    <w:uiPriority w:val="99"/>
    <w:unhideWhenUsed/>
    <w:qFormat/>
    <w:rsid w:val="00DE26EC"/>
    <w:pPr>
      <w:ind w:left="2560" w:leftChars="800"/>
    </w:pPr>
    <w:rPr>
      <w:rFonts w:ascii="楷体_GB2312" w:eastAsia="楷体_GB2312"/>
      <w:lang w:val="zh-TW"/>
    </w:rPr>
  </w:style>
  <w:style w:type="paragraph" w:styleId="CommentText">
    <w:name w:val="annotation text"/>
    <w:next w:val="Index5"/>
    <w:link w:val="Char2"/>
    <w:uiPriority w:val="99"/>
    <w:qFormat/>
    <w:rsid w:val="00DE26EC"/>
    <w:pPr>
      <w:widowControl w:val="0"/>
    </w:pPr>
    <w:rPr>
      <w:rFonts w:ascii="Calibri" w:eastAsia="Times New Roman" w:hAnsi="Calibri" w:cs="Times New Roman"/>
      <w:kern w:val="2"/>
      <w:sz w:val="21"/>
      <w:szCs w:val="24"/>
    </w:rPr>
  </w:style>
  <w:style w:type="paragraph" w:styleId="BalloonText">
    <w:name w:val="Balloon Text"/>
    <w:basedOn w:val="Normal"/>
    <w:link w:val="Char4"/>
    <w:uiPriority w:val="99"/>
    <w:semiHidden/>
    <w:unhideWhenUsed/>
    <w:qFormat/>
    <w:rsid w:val="00DE26EC"/>
    <w:rPr>
      <w:sz w:val="18"/>
      <w:szCs w:val="18"/>
    </w:rPr>
  </w:style>
  <w:style w:type="paragraph" w:styleId="Footer">
    <w:name w:val="footer"/>
    <w:basedOn w:val="Normal"/>
    <w:link w:val="Char0"/>
    <w:uiPriority w:val="99"/>
    <w:unhideWhenUsed/>
    <w:qFormat/>
    <w:rsid w:val="00DE26EC"/>
    <w:pPr>
      <w:tabs>
        <w:tab w:val="center" w:pos="4153"/>
        <w:tab w:val="right" w:pos="8306"/>
      </w:tabs>
      <w:snapToGrid w:val="0"/>
      <w:jc w:val="left"/>
    </w:pPr>
    <w:rPr>
      <w:sz w:val="18"/>
      <w:szCs w:val="18"/>
    </w:rPr>
  </w:style>
  <w:style w:type="paragraph" w:styleId="Header">
    <w:name w:val="header"/>
    <w:basedOn w:val="Normal"/>
    <w:link w:val="Char"/>
    <w:uiPriority w:val="99"/>
    <w:semiHidden/>
    <w:unhideWhenUsed/>
    <w:qFormat/>
    <w:rsid w:val="00DE26EC"/>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Char3"/>
    <w:uiPriority w:val="99"/>
    <w:semiHidden/>
    <w:unhideWhenUsed/>
    <w:qFormat/>
    <w:rsid w:val="00DE26EC"/>
    <w:rPr>
      <w:rFonts w:ascii="Times New Roman" w:eastAsia="方正仿宋_GBK" w:hAnsi="Times New Roman"/>
      <w:b/>
      <w:bCs/>
      <w:sz w:val="32"/>
      <w:szCs w:val="20"/>
    </w:rPr>
  </w:style>
  <w:style w:type="character" w:styleId="CommentReference">
    <w:name w:val="annotation reference"/>
    <w:basedOn w:val="DefaultParagraphFont"/>
    <w:uiPriority w:val="99"/>
    <w:semiHidden/>
    <w:unhideWhenUsed/>
    <w:qFormat/>
    <w:rsid w:val="00DE26EC"/>
    <w:rPr>
      <w:sz w:val="21"/>
      <w:szCs w:val="21"/>
    </w:rPr>
  </w:style>
  <w:style w:type="character" w:customStyle="1" w:styleId="Char">
    <w:name w:val="页眉 Char"/>
    <w:basedOn w:val="DefaultParagraphFont"/>
    <w:link w:val="Header"/>
    <w:uiPriority w:val="99"/>
    <w:semiHidden/>
    <w:qFormat/>
    <w:rsid w:val="00DE26EC"/>
    <w:rPr>
      <w:sz w:val="18"/>
      <w:szCs w:val="18"/>
    </w:rPr>
  </w:style>
  <w:style w:type="character" w:customStyle="1" w:styleId="Char0">
    <w:name w:val="页脚 Char"/>
    <w:basedOn w:val="DefaultParagraphFont"/>
    <w:link w:val="Footer"/>
    <w:uiPriority w:val="99"/>
    <w:qFormat/>
    <w:rsid w:val="00DE26EC"/>
    <w:rPr>
      <w:sz w:val="18"/>
      <w:szCs w:val="18"/>
    </w:rPr>
  </w:style>
  <w:style w:type="character" w:customStyle="1" w:styleId="Char1">
    <w:name w:val="正文文本 Char"/>
    <w:basedOn w:val="DefaultParagraphFont"/>
    <w:link w:val="BodyText"/>
    <w:uiPriority w:val="1"/>
    <w:qFormat/>
    <w:rsid w:val="00DE26EC"/>
    <w:rPr>
      <w:rFonts w:ascii="方正仿宋_GBK" w:eastAsia="方正仿宋_GBK" w:hAnsi="方正仿宋_GBK" w:cs="方正仿宋_GBK"/>
      <w:sz w:val="32"/>
      <w:szCs w:val="32"/>
      <w:lang w:val="zh-CN" w:bidi="zh-CN"/>
    </w:rPr>
  </w:style>
  <w:style w:type="character" w:customStyle="1" w:styleId="Char2">
    <w:name w:val="批注文字 Char"/>
    <w:basedOn w:val="DefaultParagraphFont"/>
    <w:link w:val="CommentText"/>
    <w:uiPriority w:val="99"/>
    <w:qFormat/>
    <w:rsid w:val="00DE26EC"/>
    <w:rPr>
      <w:rFonts w:ascii="Calibri" w:eastAsia="Times New Roman" w:hAnsi="Calibri" w:cs="Times New Roman"/>
      <w:szCs w:val="24"/>
    </w:rPr>
  </w:style>
  <w:style w:type="paragraph" w:customStyle="1" w:styleId="Bodytext1">
    <w:name w:val="Body text|1"/>
    <w:next w:val="Index5"/>
    <w:qFormat/>
    <w:rsid w:val="00DE26EC"/>
    <w:pPr>
      <w:widowControl w:val="0"/>
      <w:spacing w:line="316" w:lineRule="auto"/>
      <w:ind w:firstLine="400"/>
    </w:pPr>
    <w:rPr>
      <w:rFonts w:ascii="宋体" w:eastAsia="Times New Roman" w:hAnsi="Times New Roman" w:cs="宋体"/>
      <w:color w:val="000000"/>
      <w:sz w:val="30"/>
      <w:szCs w:val="30"/>
      <w:lang w:val="zh-TW" w:eastAsia="zh-TW"/>
    </w:rPr>
  </w:style>
  <w:style w:type="paragraph" w:customStyle="1" w:styleId="Default">
    <w:name w:val="Default"/>
    <w:next w:val="Index5"/>
    <w:qFormat/>
    <w:rsid w:val="00DE26EC"/>
    <w:pPr>
      <w:widowControl w:val="0"/>
      <w:autoSpaceDE w:val="0"/>
      <w:autoSpaceDN w:val="0"/>
      <w:adjustRightInd w:val="0"/>
    </w:pPr>
    <w:rPr>
      <w:rFonts w:ascii="Times New Roman" w:eastAsia="Times New Roman" w:hAnsi="Times New Roman" w:cs="Arial"/>
      <w:color w:val="000000"/>
      <w:sz w:val="24"/>
      <w:szCs w:val="24"/>
    </w:rPr>
  </w:style>
  <w:style w:type="character" w:customStyle="1" w:styleId="Char3">
    <w:name w:val="批注主题 Char"/>
    <w:basedOn w:val="Char2"/>
    <w:link w:val="CommentSubject"/>
    <w:uiPriority w:val="99"/>
    <w:semiHidden/>
    <w:qFormat/>
    <w:rsid w:val="00DE26EC"/>
    <w:rPr>
      <w:rFonts w:ascii="Times New Roman" w:eastAsia="方正仿宋_GBK" w:hAnsi="Times New Roman"/>
      <w:b/>
      <w:bCs/>
      <w:sz w:val="32"/>
      <w:szCs w:val="20"/>
    </w:rPr>
  </w:style>
  <w:style w:type="character" w:customStyle="1" w:styleId="Char4">
    <w:name w:val="批注框文本 Char"/>
    <w:basedOn w:val="DefaultParagraphFont"/>
    <w:link w:val="BalloonText"/>
    <w:uiPriority w:val="99"/>
    <w:semiHidden/>
    <w:qFormat/>
    <w:rsid w:val="00DE26EC"/>
    <w:rPr>
      <w:rFonts w:ascii="Times New Roman" w:eastAsia="方正仿宋_GBK" w:hAnsi="Times New Roman" w:cs="Times New Roman"/>
      <w:sz w:val="18"/>
      <w:szCs w:val="18"/>
    </w:rPr>
  </w:style>
  <w:style w:type="paragraph" w:customStyle="1" w:styleId="1">
    <w:name w:val="修订1"/>
    <w:hidden/>
    <w:uiPriority w:val="99"/>
    <w:semiHidden/>
    <w:qFormat/>
    <w:rsid w:val="00DE26EC"/>
    <w:rPr>
      <w:rFonts w:ascii="Times New Roman" w:eastAsia="方正仿宋_GBK" w:hAnsi="Times New Roman" w:cs="Times New Roman"/>
      <w:kern w:val="2"/>
      <w:sz w:val="32"/>
    </w:rPr>
  </w:style>
  <w:style w:type="paragraph" w:styleId="ListParagraph">
    <w:name w:val="List Paragraph"/>
    <w:basedOn w:val="Normal"/>
    <w:uiPriority w:val="34"/>
    <w:qFormat/>
    <w:rsid w:val="00DE26EC"/>
    <w:pPr>
      <w:ind w:firstLine="420" w:firstLineChars="200"/>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3" textRotate="1"/>
    <customShpInfo spid="_x0000_s307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仲海涛</cp:lastModifiedBy>
  <cp:revision>3</cp:revision>
  <dcterms:created xsi:type="dcterms:W3CDTF">2024-09-30T06:34:00Z</dcterms:created>
  <dcterms:modified xsi:type="dcterms:W3CDTF">2024-09-30T06:47:00Z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D9B55EA154DB43AA99204DCBE0258D10_12</vt:lpwstr>
  </property>
  <property fmtid="{D5CDD505-2E9C-101B-9397-08002B2CF9AE}" pid="3" name="KSOProductBuildVer">
    <vt:lpwstr>2052-11.8.2.12086</vt:lpwstr>
  </property>
</Properties>
</file>